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pStyle w:val="2"/>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7425"/>
      <w:bookmarkStart w:id="3" w:name="_Toc15378441"/>
      <w:bookmarkStart w:id="4" w:name="_Toc15396475"/>
      <w:bookmarkStart w:id="5" w:name="_Toc15377193"/>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77426"/>
      <w:bookmarkStart w:id="8" w:name="_Toc15396598"/>
      <w:bookmarkStart w:id="9" w:name="_Toc15377194"/>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政府国有资产监督管理委员会</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hint="eastAsia"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1"/>
        <w:rPr>
          <w:rFonts w:hint="eastAsia"/>
        </w:rPr>
      </w:pPr>
      <w:r>
        <w:rPr>
          <w:rFonts w:hint="eastAsia"/>
        </w:rPr>
        <w:t>公开时间：2019年8月29日</w:t>
      </w:r>
    </w:p>
    <w:p/>
    <w:p>
      <w:pPr>
        <w:pStyle w:val="11"/>
        <w:rPr>
          <w:rFonts w:cstheme="minorBidi"/>
        </w:rPr>
      </w:pPr>
      <w:r>
        <w:fldChar w:fldCharType="begin"/>
      </w:r>
      <w:r>
        <w:instrText xml:space="preserve"> HYPERLINK \l "_Toc15396599" </w:instrText>
      </w:r>
      <w:r>
        <w:fldChar w:fldCharType="separate"/>
      </w:r>
      <w:r>
        <w:rPr>
          <w:rStyle w:val="17"/>
          <w:rFonts w:hint="eastAsia"/>
        </w:rPr>
        <w:t>第一部分</w:t>
      </w:r>
      <w:r>
        <w:rPr>
          <w:rStyle w:val="17"/>
        </w:rPr>
        <w:t xml:space="preserve"> </w:t>
      </w:r>
      <w:r>
        <w:rPr>
          <w:rStyle w:val="17"/>
          <w:rFonts w:hint="eastAsia"/>
        </w:rPr>
        <w:t>部门概况</w:t>
      </w:r>
      <w:r>
        <w:tab/>
      </w:r>
      <w:r>
        <w:rPr>
          <w:rFonts w:hint="eastAsia"/>
        </w:rPr>
        <w:t>4</w:t>
      </w:r>
      <w:r>
        <w:rPr>
          <w:rFonts w:hint="eastAsia"/>
        </w:rPr>
        <w:fldChar w:fldCharType="end"/>
      </w:r>
    </w:p>
    <w:p>
      <w:pPr>
        <w:pStyle w:val="12"/>
        <w:rPr>
          <w:rFonts w:ascii="仿宋" w:hAnsi="仿宋" w:eastAsia="仿宋" w:cstheme="minorBidi"/>
          <w:sz w:val="28"/>
          <w:szCs w:val="28"/>
        </w:rPr>
      </w:pPr>
      <w:r>
        <w:fldChar w:fldCharType="begin"/>
      </w:r>
      <w:r>
        <w:instrText xml:space="preserve"> HYPERLINK \l "_Toc15396600" </w:instrText>
      </w:r>
      <w:r>
        <w:fldChar w:fldCharType="separate"/>
      </w:r>
      <w:r>
        <w:rPr>
          <w:rStyle w:val="17"/>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"_Toc15396601" </w:instrText>
      </w:r>
      <w:r>
        <w:fldChar w:fldCharType="separate"/>
      </w:r>
      <w:r>
        <w:rPr>
          <w:rStyle w:val="17"/>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"_Toc15396602" </w:instrText>
      </w:r>
      <w:r>
        <w:fldChar w:fldCharType="separate"/>
      </w:r>
      <w:r>
        <w:rPr>
          <w:rStyle w:val="17"/>
          <w:rFonts w:hint="eastAsia"/>
        </w:rPr>
        <w:t>第二部分</w:t>
      </w:r>
      <w:r>
        <w:rPr>
          <w:rStyle w:val="17"/>
        </w:rPr>
        <w:t xml:space="preserve"> 2018</w:t>
      </w:r>
      <w:r>
        <w:rPr>
          <w:rStyle w:val="17"/>
          <w:rFonts w:hint="eastAsia"/>
        </w:rPr>
        <w:t>年度部门决算情况说明</w:t>
      </w:r>
      <w:r>
        <w:tab/>
      </w:r>
      <w:r>
        <w:fldChar w:fldCharType="begin"/>
      </w:r>
      <w:r>
        <w:instrText xml:space="preserve"> PAGEREF _Toc15396602 \h </w:instrText>
      </w:r>
      <w:r>
        <w:fldChar w:fldCharType="separate"/>
      </w:r>
      <w:r>
        <w:t>10</w:t>
      </w:r>
      <w:r>
        <w:fldChar w:fldCharType="end"/>
      </w:r>
      <w:r>
        <w:fldChar w:fldCharType="end"/>
      </w:r>
    </w:p>
    <w:p>
      <w:pPr>
        <w:pStyle w:val="12"/>
        <w:rPr>
          <w:rFonts w:ascii="仿宋" w:hAnsi="仿宋" w:eastAsia="仿宋" w:cstheme="minorBidi"/>
          <w:sz w:val="28"/>
          <w:szCs w:val="28"/>
        </w:rPr>
      </w:pPr>
      <w:r>
        <w:fldChar w:fldCharType="begin"/>
      </w:r>
      <w:r>
        <w:instrText xml:space="preserve"> HYPERLINK \l "_Toc15396603" </w:instrText>
      </w:r>
      <w:r>
        <w:fldChar w:fldCharType="separate"/>
      </w:r>
      <w:r>
        <w:rPr>
          <w:rStyle w:val="17"/>
          <w:rFonts w:hint="eastAsia" w:ascii="仿宋" w:hAnsi="仿宋" w:eastAsia="仿宋" w:cstheme="majorBidi"/>
          <w:bCs/>
          <w:sz w:val="28"/>
          <w:szCs w:val="28"/>
        </w:rPr>
        <w:t>一、</w:t>
      </w:r>
      <w:r>
        <w:rPr>
          <w:rStyle w:val="17"/>
          <w:rFonts w:hint="eastAsia" w:ascii="仿宋" w:hAnsi="仿宋" w:eastAsia="仿宋"/>
          <w:sz w:val="28"/>
          <w:szCs w:val="28"/>
        </w:rPr>
        <w:t>收</w:t>
      </w:r>
      <w:r>
        <w:rPr>
          <w:rStyle w:val="17"/>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"_Toc15396604" </w:instrText>
      </w:r>
      <w:r>
        <w:fldChar w:fldCharType="separate"/>
      </w:r>
      <w:r>
        <w:rPr>
          <w:rStyle w:val="17"/>
          <w:rFonts w:hint="eastAsia" w:ascii="仿宋" w:hAnsi="仿宋" w:eastAsia="仿宋" w:cstheme="majorBidi"/>
          <w:bCs/>
          <w:sz w:val="28"/>
          <w:szCs w:val="28"/>
        </w:rPr>
        <w:t>二、</w:t>
      </w:r>
      <w:r>
        <w:rPr>
          <w:rStyle w:val="17"/>
          <w:rFonts w:hint="eastAsia" w:ascii="仿宋" w:hAnsi="仿宋" w:eastAsia="仿宋"/>
          <w:sz w:val="28"/>
          <w:szCs w:val="28"/>
        </w:rPr>
        <w:t>收</w:t>
      </w:r>
      <w:r>
        <w:rPr>
          <w:rStyle w:val="17"/>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"_Toc15396605" </w:instrText>
      </w:r>
      <w:r>
        <w:fldChar w:fldCharType="separate"/>
      </w:r>
      <w:r>
        <w:rPr>
          <w:rStyle w:val="17"/>
          <w:rFonts w:hint="eastAsia" w:ascii="仿宋" w:hAnsi="仿宋" w:eastAsia="仿宋" w:cstheme="majorBidi"/>
          <w:bCs/>
          <w:sz w:val="28"/>
          <w:szCs w:val="28"/>
        </w:rPr>
        <w:t>三、</w:t>
      </w:r>
      <w:r>
        <w:rPr>
          <w:rStyle w:val="17"/>
          <w:rFonts w:hint="eastAsia" w:ascii="仿宋" w:hAnsi="仿宋" w:eastAsia="仿宋"/>
          <w:sz w:val="28"/>
          <w:szCs w:val="28"/>
        </w:rPr>
        <w:t>支</w:t>
      </w:r>
      <w:r>
        <w:rPr>
          <w:rStyle w:val="17"/>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"_Toc15396606" </w:instrText>
      </w:r>
      <w:r>
        <w:fldChar w:fldCharType="separate"/>
      </w:r>
      <w:r>
        <w:rPr>
          <w:rStyle w:val="17"/>
          <w:rFonts w:hint="eastAsia" w:ascii="仿宋" w:hAnsi="仿宋" w:eastAsia="仿宋"/>
          <w:sz w:val="28"/>
          <w:szCs w:val="28"/>
        </w:rPr>
        <w:t>四、财</w:t>
      </w:r>
      <w:r>
        <w:rPr>
          <w:rStyle w:val="17"/>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"_Toc15396607" </w:instrText>
      </w:r>
      <w:r>
        <w:fldChar w:fldCharType="separate"/>
      </w:r>
      <w:r>
        <w:rPr>
          <w:rStyle w:val="17"/>
          <w:rFonts w:hint="eastAsia" w:ascii="仿宋" w:hAnsi="仿宋" w:eastAsia="仿宋"/>
          <w:sz w:val="28"/>
          <w:szCs w:val="28"/>
        </w:rPr>
        <w:t>五、一</w:t>
      </w:r>
      <w:r>
        <w:rPr>
          <w:rStyle w:val="17"/>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"_Toc15396608" </w:instrText>
      </w:r>
      <w:r>
        <w:fldChar w:fldCharType="separate"/>
      </w:r>
      <w:r>
        <w:rPr>
          <w:rStyle w:val="17"/>
          <w:rFonts w:hint="eastAsia" w:ascii="仿宋" w:hAnsi="仿宋" w:eastAsia="仿宋"/>
          <w:sz w:val="28"/>
          <w:szCs w:val="28"/>
        </w:rPr>
        <w:t>六、一</w:t>
      </w:r>
      <w:r>
        <w:rPr>
          <w:rStyle w:val="17"/>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"_Toc15396609" </w:instrText>
      </w:r>
      <w:r>
        <w:fldChar w:fldCharType="separate"/>
      </w:r>
      <w:r>
        <w:rPr>
          <w:rStyle w:val="17"/>
          <w:rFonts w:hint="eastAsia" w:ascii="仿宋" w:hAnsi="仿宋" w:eastAsia="仿宋"/>
          <w:sz w:val="28"/>
          <w:szCs w:val="28"/>
        </w:rPr>
        <w:t>七、</w:t>
      </w:r>
      <w:r>
        <w:rPr>
          <w:rStyle w:val="17"/>
          <w:rFonts w:ascii="仿宋" w:hAnsi="仿宋" w:eastAsia="仿宋"/>
          <w:sz w:val="28"/>
          <w:szCs w:val="28"/>
        </w:rPr>
        <w:t>“</w:t>
      </w:r>
      <w:r>
        <w:rPr>
          <w:rStyle w:val="17"/>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"_Toc15396610" </w:instrText>
      </w:r>
      <w:r>
        <w:fldChar w:fldCharType="separate"/>
      </w:r>
      <w:r>
        <w:rPr>
          <w:rStyle w:val="17"/>
          <w:rFonts w:hint="eastAsia" w:ascii="仿宋" w:hAnsi="仿宋" w:eastAsia="仿宋"/>
          <w:sz w:val="28"/>
          <w:szCs w:val="28"/>
        </w:rPr>
        <w:t>八、</w:t>
      </w:r>
      <w:r>
        <w:rPr>
          <w:rStyle w:val="17"/>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"_Toc15396611" </w:instrText>
      </w:r>
      <w:r>
        <w:fldChar w:fldCharType="separate"/>
      </w:r>
      <w:r>
        <w:rPr>
          <w:rStyle w:val="17"/>
          <w:rFonts w:hint="eastAsia" w:ascii="仿宋" w:hAnsi="仿宋" w:eastAsia="仿宋" w:cstheme="majorBidi"/>
          <w:bCs/>
          <w:sz w:val="28"/>
          <w:szCs w:val="28"/>
        </w:rPr>
        <w:t>九、</w:t>
      </w:r>
      <w:r>
        <w:rPr>
          <w:rStyle w:val="17"/>
          <w:rFonts w:hint="eastAsia" w:ascii="仿宋" w:hAnsi="仿宋" w:eastAsia="仿宋"/>
          <w:sz w:val="28"/>
          <w:szCs w:val="28"/>
        </w:rPr>
        <w:t xml:space="preserve"> 国</w:t>
      </w:r>
      <w:r>
        <w:rPr>
          <w:rStyle w:val="17"/>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"_Toc15396611" </w:instrText>
      </w:r>
      <w:r>
        <w:fldChar w:fldCharType="separate"/>
      </w:r>
      <w:r>
        <w:rPr>
          <w:rFonts w:hint="eastAsia" w:ascii="仿宋" w:hAnsi="仿宋" w:eastAsia="仿宋"/>
          <w:sz w:val="28"/>
          <w:szCs w:val="28"/>
          <w:highlight w:val="none"/>
          <w:lang w:val="en-US" w:eastAsia="zh-CN"/>
        </w:rPr>
        <w:t>十、</w:t>
      </w:r>
      <w:r>
        <w:rPr>
          <w:rStyle w:val="17"/>
          <w:rFonts w:hint="eastAsia" w:ascii="仿宋" w:hAnsi="仿宋" w:eastAsia="仿宋" w:cstheme="majorBidi"/>
          <w:bCs/>
          <w:kern w:val="2"/>
          <w:sz w:val="28"/>
          <w:szCs w:val="28"/>
          <w:highlight w:val="none"/>
          <w:lang w:val="en-US" w:eastAsia="zh-CN" w:bidi="ar-SA"/>
        </w:rPr>
        <w:t>预算绩效情况说明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"_Toc15396612" </w:instrText>
      </w:r>
      <w:r>
        <w:fldChar w:fldCharType="separate"/>
      </w:r>
      <w:r>
        <w:rPr>
          <w:rStyle w:val="17"/>
          <w:rFonts w:hint="eastAsia" w:ascii="仿宋" w:hAnsi="仿宋" w:eastAsia="仿宋"/>
          <w:sz w:val="28"/>
          <w:szCs w:val="28"/>
        </w:rPr>
        <w:t>十</w:t>
      </w:r>
      <w:r>
        <w:rPr>
          <w:rStyle w:val="17"/>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rPr>
          <w:rFonts w:cstheme="minorBidi"/>
        </w:rPr>
      </w:pPr>
      <w:r>
        <w:fldChar w:fldCharType="begin"/>
      </w:r>
      <w:r>
        <w:instrText xml:space="preserve"> HYPERLINK \l "_Toc15396613" </w:instrText>
      </w:r>
      <w:r>
        <w:fldChar w:fldCharType="separate"/>
      </w:r>
      <w:r>
        <w:rPr>
          <w:rStyle w:val="17"/>
          <w:rFonts w:hint="eastAsia"/>
          <w:bCs/>
          <w:kern w:val="44"/>
        </w:rPr>
        <w:t>第三部分</w:t>
      </w:r>
      <w:r>
        <w:rPr>
          <w:rStyle w:val="17"/>
          <w:rFonts w:hint="eastAsia"/>
        </w:rPr>
        <w:t xml:space="preserve"> 名</w:t>
      </w:r>
      <w:r>
        <w:rPr>
          <w:rStyle w:val="17"/>
          <w:rFonts w:hint="eastAsia"/>
          <w:bCs/>
          <w:kern w:val="44"/>
        </w:rPr>
        <w:t>词解释</w:t>
      </w:r>
      <w:r>
        <w:tab/>
      </w:r>
      <w:r>
        <w:fldChar w:fldCharType="begin"/>
      </w:r>
      <w:r>
        <w:instrText xml:space="preserve"> PAGEREF _Toc15396613 \h </w:instrText>
      </w:r>
      <w:r>
        <w:fldChar w:fldCharType="separate"/>
      </w:r>
      <w:r>
        <w:t>33</w:t>
      </w:r>
      <w:r>
        <w:fldChar w:fldCharType="end"/>
      </w:r>
      <w:r>
        <w:fldChar w:fldCharType="end"/>
      </w:r>
    </w:p>
    <w:p>
      <w:pPr>
        <w:pStyle w:val="11"/>
        <w:rPr>
          <w:rFonts w:cstheme="minorBidi"/>
        </w:rPr>
      </w:pPr>
      <w:r>
        <w:fldChar w:fldCharType="begin"/>
      </w:r>
      <w:r>
        <w:instrText xml:space="preserve"> HYPERLINK \l "_Toc15396614" </w:instrText>
      </w:r>
      <w:r>
        <w:fldChar w:fldCharType="separate"/>
      </w:r>
      <w:r>
        <w:rPr>
          <w:rStyle w:val="17"/>
          <w:rFonts w:hint="eastAsia"/>
        </w:rPr>
        <w:t>第</w:t>
      </w:r>
      <w:r>
        <w:rPr>
          <w:rStyle w:val="17"/>
          <w:rFonts w:hint="eastAsia"/>
          <w:bCs/>
          <w:kern w:val="44"/>
        </w:rPr>
        <w:t>四部分</w:t>
      </w:r>
      <w:r>
        <w:rPr>
          <w:rStyle w:val="17"/>
          <w:bCs/>
          <w:kern w:val="44"/>
        </w:rPr>
        <w:t xml:space="preserve"> </w:t>
      </w:r>
      <w:r>
        <w:rPr>
          <w:rStyle w:val="17"/>
          <w:rFonts w:hint="eastAsia"/>
          <w:bCs/>
          <w:kern w:val="44"/>
        </w:rPr>
        <w:t>附件</w:t>
      </w:r>
      <w:r>
        <w:tab/>
      </w:r>
      <w:r>
        <w:fldChar w:fldCharType="begin"/>
      </w:r>
      <w:r>
        <w:instrText xml:space="preserve"> PAGEREF _Toc15396614 \h </w:instrText>
      </w:r>
      <w:r>
        <w:fldChar w:fldCharType="separate"/>
      </w:r>
      <w:r>
        <w:t>36</w:t>
      </w:r>
      <w:r>
        <w:fldChar w:fldCharType="end"/>
      </w:r>
      <w:r>
        <w:fldChar w:fldCharType="end"/>
      </w:r>
    </w:p>
    <w:p>
      <w:pPr>
        <w:pStyle w:val="12"/>
        <w:rPr>
          <w:rFonts w:ascii="仿宋" w:hAnsi="仿宋" w:eastAsia="仿宋" w:cstheme="minorBidi"/>
          <w:sz w:val="28"/>
          <w:szCs w:val="28"/>
        </w:rPr>
      </w:pPr>
      <w:r>
        <w:fldChar w:fldCharType="begin"/>
      </w:r>
      <w:r>
        <w:instrText xml:space="preserve"> HYPERLINK \l "_Toc15396615" </w:instrText>
      </w:r>
      <w:r>
        <w:fldChar w:fldCharType="separate"/>
      </w:r>
      <w:r>
        <w:rPr>
          <w:rStyle w:val="17"/>
          <w:rFonts w:hint="eastAsia" w:ascii="仿宋" w:hAnsi="仿宋" w:eastAsia="仿宋"/>
          <w:kern w:val="44"/>
          <w:sz w:val="28"/>
          <w:szCs w:val="28"/>
        </w:rPr>
        <w:t>附件</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36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p>
    <w:p>
      <w:pPr>
        <w:pStyle w:val="11"/>
        <w:rPr>
          <w:rFonts w:cstheme="minorBidi"/>
        </w:rPr>
      </w:pPr>
      <w:r>
        <w:fldChar w:fldCharType="begin"/>
      </w:r>
      <w:r>
        <w:instrText xml:space="preserve"> HYPERLINK \l "_Toc15396618" </w:instrText>
      </w:r>
      <w:r>
        <w:fldChar w:fldCharType="separate"/>
      </w:r>
      <w:r>
        <w:rPr>
          <w:rStyle w:val="17"/>
          <w:rFonts w:hint="eastAsia"/>
        </w:rPr>
        <w:t>第</w:t>
      </w:r>
      <w:r>
        <w:rPr>
          <w:rStyle w:val="17"/>
          <w:rFonts w:hint="eastAsia"/>
          <w:bCs/>
          <w:kern w:val="44"/>
        </w:rPr>
        <w:t>五部分</w:t>
      </w:r>
      <w:r>
        <w:rPr>
          <w:rStyle w:val="17"/>
          <w:bCs/>
          <w:kern w:val="44"/>
        </w:rPr>
        <w:t xml:space="preserve"> </w:t>
      </w:r>
      <w:r>
        <w:rPr>
          <w:rStyle w:val="17"/>
          <w:rFonts w:hint="eastAsia"/>
          <w:bCs/>
          <w:kern w:val="44"/>
        </w:rPr>
        <w:t>附表</w:t>
      </w:r>
      <w:r>
        <w:tab/>
      </w:r>
      <w:r>
        <w:fldChar w:fldCharType="begin"/>
      </w:r>
      <w:r>
        <w:instrText xml:space="preserve"> PAGEREF _Toc15396618 \h </w:instrText>
      </w:r>
      <w:r>
        <w:fldChar w:fldCharType="separate"/>
      </w:r>
      <w:r>
        <w:t>43</w:t>
      </w:r>
      <w:r>
        <w:fldChar w:fldCharType="end"/>
      </w:r>
      <w:r>
        <w:fldChar w:fldCharType="end"/>
      </w:r>
    </w:p>
    <w:p>
      <w:pPr>
        <w:pStyle w:val="12"/>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7"/>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43</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7"/>
          <w:rFonts w:hint="eastAsia" w:ascii="仿宋" w:hAnsi="仿宋" w:eastAsia="仿宋"/>
          <w:sz w:val="28"/>
          <w:szCs w:val="28"/>
        </w:rPr>
        <w:t>收入</w:t>
      </w:r>
      <w:r>
        <w:rPr>
          <w:rStyle w:val="17"/>
          <w:rFonts w:hint="eastAsia" w:ascii="仿宋" w:hAnsi="仿宋" w:eastAsia="仿宋"/>
          <w:sz w:val="28"/>
          <w:szCs w:val="28"/>
          <w:lang w:val="en-US" w:eastAsia="zh-CN"/>
        </w:rPr>
        <w:t>决算</w:t>
      </w:r>
      <w:r>
        <w:rPr>
          <w:rStyle w:val="17"/>
          <w:rFonts w:hint="eastAsia" w:ascii="仿宋" w:hAnsi="仿宋" w:eastAsia="仿宋"/>
          <w:sz w:val="28"/>
          <w:szCs w:val="28"/>
        </w:rPr>
        <w:t>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43</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7"/>
          <w:rFonts w:hint="eastAsia" w:ascii="仿宋" w:hAnsi="仿宋" w:eastAsia="仿宋"/>
          <w:sz w:val="28"/>
          <w:szCs w:val="28"/>
        </w:rPr>
        <w:t>支出</w:t>
      </w:r>
      <w:r>
        <w:rPr>
          <w:rStyle w:val="17"/>
          <w:rFonts w:hint="eastAsia" w:ascii="仿宋" w:hAnsi="仿宋" w:eastAsia="仿宋"/>
          <w:sz w:val="28"/>
          <w:szCs w:val="28"/>
          <w:lang w:eastAsia="zh-CN"/>
        </w:rPr>
        <w:t>决算</w:t>
      </w:r>
      <w:r>
        <w:rPr>
          <w:rStyle w:val="17"/>
          <w:rFonts w:hint="eastAsia" w:ascii="仿宋" w:hAnsi="仿宋" w:eastAsia="仿宋"/>
          <w:sz w:val="28"/>
          <w:szCs w:val="28"/>
        </w:rPr>
        <w:t>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43</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7"/>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43</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43</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7"/>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43</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7"/>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43</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7"/>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43</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7"/>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43</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7"/>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43</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7"/>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43</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7"/>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43</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7"/>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43</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3"/>
        <w:jc w:val="center"/>
        <w:rPr>
          <w:rStyle w:val="27"/>
          <w:rFonts w:ascii="黑体" w:hAnsi="黑体" w:eastAsia="黑体"/>
          <w:b/>
          <w:bCs w:val="0"/>
        </w:rPr>
      </w:pPr>
      <w:r>
        <w:rPr>
          <w:rFonts w:hint="eastAsia" w:ascii="黑体" w:hAnsi="黑体" w:eastAsia="黑体"/>
          <w:b w:val="0"/>
        </w:rPr>
        <w:t xml:space="preserve">第一部分 </w:t>
      </w:r>
      <w:r>
        <w:rPr>
          <w:rStyle w:val="27"/>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4"/>
        <w:rPr>
          <w:rStyle w:val="28"/>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8"/>
          <w:rFonts w:hint="eastAsia" w:ascii="黑体" w:hAnsi="黑体" w:eastAsia="黑体"/>
          <w:b w:val="0"/>
          <w:bCs w:val="0"/>
        </w:rPr>
        <w:t>本职能及主要工作</w:t>
      </w:r>
      <w:bookmarkEnd w:id="14"/>
      <w:bookmarkEnd w:id="15"/>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r>
        <w:rPr>
          <w:rFonts w:hint="eastAsia" w:ascii="仿宋" w:hAnsi="仿宋" w:eastAsia="仿宋"/>
          <w:bCs/>
          <w:color w:val="000000"/>
          <w:sz w:val="32"/>
          <w:szCs w:val="32"/>
        </w:rPr>
        <w:t>四川省国资委基本职责为根据省政府授权，依照《中华人民共和国公司法》、《中华人民共和国企业国有资产法》等法律和行政法规履行出资人职责，监管省属企业的国有资产，加强国有资产的管理工作。研究拟订国有资产管理的地方性法规、规章草案，制定或拟订有关制度，依法对市（州）国有资产管理进行指导。承担监督所监管企业国有资产保值增值的责任，建立和完善国有资产保值增值指标体系，制定考核标准，通过统计、稽核对所监管企业国有资产的保值增值情况进行监管，负责所监管企业工资分配管理工作，制定所监管企业负责人收入分配政策并组织实施。指导推进国有企业改革和重组，推进国有企业的现代企业制度建设，完善公司治理结构，推动国有经济布局和结构的战略性调整。</w:t>
      </w:r>
    </w:p>
    <w:p>
      <w:pPr>
        <w:snapToGrid w:val="0"/>
        <w:spacing w:line="600" w:lineRule="exact"/>
        <w:ind w:firstLine="640" w:firstLineChars="200"/>
        <w:rPr>
          <w:rFonts w:hint="eastAsia"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r>
        <w:rPr>
          <w:rFonts w:hint="eastAsia" w:ascii="仿宋" w:hAnsi="仿宋" w:eastAsia="仿宋"/>
          <w:bCs/>
          <w:color w:val="000000"/>
          <w:sz w:val="32"/>
          <w:szCs w:val="32"/>
        </w:rPr>
        <w:t>2018年，面对复杂严峻的宏观经济形势和艰巨繁重的改革发展任务，全省国资系统坚持以习近平新时代中国特色社会主义思想为指导，深入学习贯彻党的十九大及省委十一届三次、四次全会等系列重要会议精神，坚持稳中求进工作总基调，主动作为、扎实工作，推动国资国企改革发展取得明显成效。2018年，全省国有企业资产总额在2017年突破8万亿元的基础上再上一个万亿元台阶、达到9.4万亿元，实现营业收入1.7万亿元、利润总额780亿元，同比分别增长11.9%、14.5%、19.8%，主要指标实现了两位数以上增长。包括：纳入省国资委快报统计的67户中央在川企业，资产总额2.4万亿元、实现营业收入8837亿元、利润总额187亿元，同比分别增长2.5%、11.6%、21.6%；全省地方国有企业资产总额7万亿元，实现营业收入8296亿元、利润总额593亿元，同比分别增长15.5%、17.8%、19.2%，其中：省属国有企业资产总额1.4万亿元，实现营业收入3126亿元、利润总额92.8亿元，同比分别增长12.3%、17.5%、19.8%。东方电气、省交投、长虹等7户国有企业进入“中国企业500强”。我们主要做了以下六个方面工作：</w:t>
      </w:r>
    </w:p>
    <w:p>
      <w:pPr>
        <w:numPr>
          <w:ilvl w:val="0"/>
          <w:numId w:val="1"/>
        </w:numPr>
        <w:snapToGrid w:val="0"/>
        <w:spacing w:line="60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多措并举稳增长促发展，国有经济综合实力得到新提升面对经济下行压力，全省国资系统迎难而上、多措并举，国有经济保持了稳中有进、稳中提质的良好态势，为全省经济增长作出了积极贡献。</w:t>
      </w:r>
    </w:p>
    <w:p>
      <w:pPr>
        <w:numPr>
          <w:ilvl w:val="0"/>
          <w:numId w:val="0"/>
        </w:numPr>
        <w:snapToGrid w:val="0"/>
        <w:spacing w:line="60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rPr>
        <w:t>强力改革攻坚，国有企业活力得到新增</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以增强活力、提高效率为中心，坚定推进市场化改革。</w:t>
      </w:r>
    </w:p>
    <w:p>
      <w:pPr>
        <w:snapToGrid w:val="0"/>
        <w:spacing w:line="60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3.</w:t>
      </w:r>
      <w:r>
        <w:rPr>
          <w:rFonts w:hint="eastAsia" w:ascii="仿宋" w:hAnsi="仿宋" w:eastAsia="仿宋"/>
          <w:bCs/>
          <w:color w:val="000000"/>
          <w:sz w:val="32"/>
          <w:szCs w:val="32"/>
        </w:rPr>
        <w:t>着力高质量发展，产业引领带动取得新成果推动出台《关于国有企业高质量发展的指导意见》，实施国企高质量发展“三年行动计划”，充分发挥国企在高质量发展中的引领带动作用。</w:t>
      </w:r>
    </w:p>
    <w:p>
      <w:pPr>
        <w:snapToGrid w:val="0"/>
        <w:spacing w:line="60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4.</w:t>
      </w:r>
      <w:r>
        <w:rPr>
          <w:rFonts w:hint="eastAsia" w:ascii="仿宋" w:hAnsi="仿宋" w:eastAsia="仿宋"/>
          <w:bCs/>
          <w:color w:val="000000"/>
          <w:sz w:val="32"/>
          <w:szCs w:val="32"/>
        </w:rPr>
        <w:t>强化依法监管，监管针对性有效性得到新提升,牢牢把握职责定位，不断提升监管效能。一是推动职能转变。省市加快出台国资委职能转变方案，精简国资监管事项，明确权责边界，转变监管方式。二是强化重点领域和关键环节监督。加强主业管理，对省属企业“3+2”主营业务和培育业务实施动态管理。强化投资监管，严格落实投资监管办法、投资项目负面清单等规章制度。加强产权监管，全年全省企业国有产权交易项目成交2038宗，成交金额236亿元，竞价项目增值率36.7%。加强财务监督，推进省属企业财务总监试点，建立省属企业财务信息公开制度。以风险防范为核心推进依法治企，推动落实国企主要负责人履行法治建设第一责任人职责规定。南充、攀枝花、达州等地结合实际完善了监管制度办法。三是强化责任追究。落实违规经营投资责任追究办法，对违规决策、违规经营的企业及其负责人，依规依纪进行扣减薪酬、党纪政纪处分。四是强化问题研究。结合“大学习、大讨论、大调研”活动，聚焦国企高质量发展、资产证券化、混合所有制改革、国企党建等重要问题，进行深入研究，形成了一批具有较高质量的调研成果，为破解难题、推进发展提供了智力支持。同时，各企业认真落实主体责任，扎实抓好安全生产、信访维稳、环保督查发现问题整改等工作。</w:t>
      </w:r>
    </w:p>
    <w:p>
      <w:pPr>
        <w:snapToGrid w:val="0"/>
        <w:spacing w:line="60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5.</w:t>
      </w:r>
      <w:r>
        <w:rPr>
          <w:rFonts w:hint="eastAsia" w:ascii="仿宋" w:hAnsi="仿宋" w:eastAsia="仿宋"/>
          <w:bCs/>
          <w:color w:val="000000"/>
          <w:sz w:val="32"/>
          <w:szCs w:val="32"/>
        </w:rPr>
        <w:t>落实全面从严治党，国企党建得到新加强以政治建设为统领，以落实国企党建39项重点任务为主要抓手，推动国企党建实现了“五个进一步”。一是政治建设进一步加强。组织全省国资国企深入学习贯彻习近平新时代中国特色社会主义思想和党的十九大精神，扎实开展“大学习、大讨论、大调研”活动，切实增强“四个意识”，坚定“四个自信”，践行“两个维护”。二是基层党建进一步夯实。完善省属企业党委议事规则、“三重一大”决策制度实施办法，明确和落实企业党组织在公司法人治理结构中的法定地位，推进二三级公司“双向进入、交叉任职”，充分发挥企业党委领导作用。以提升组织力为重点，实施国企党建“强基固本提升工程”，涌现出川航3U8633英雄机组等全国重大先进典型，受到习近平总书记亲切接见。整合水、电、气、路、通讯等16家企业和行业协会资源，创新成立国企系统党员志愿服务联盟。三是国企班子队伍进一步提升。首次开展企业领导班子综合考核，对11户党建或党风廉政建设未评为“好”的，直接取消其班子和相关领导人员评优资格。围绕打造一流的企业家队伍，首次在美国哈佛大学举办国企主要负责人培训班。在清华大学、北京大学等高校培训国企领导人员150余名，组织51户企业赴清华大学、西南交大及上海、香港等地招聘专业人才上千人。四是思想建设进一步深化。组织编撰四川国资国企改革发展主题读物、举办国企改革开放40周年高峰论坛、图片展，与四川电视台拍摄制作《走在“一带一路”国家的四川国企》纪录片，讲好国资国企故事，强化舆论主阵地，加强舆情引导与分析监测，凝聚改革正能量。五是党风廉政建设进一步强化。深入开展巡视反馈意见整改，针对中央巡视反馈意见涉及国资国企工作问题，细化16条具体整改措施；督促指导被省委首轮巡视的6户省属企业立行立改，细化整改任务375项，制定整改措施789条，形成制度办法125个。持续改作风树新风，坚决防止新的形式主义、官僚主义，严防“四风”问题反弹。首次对省属企业落实“两个责任”进行考核，对企业纪委书记实行单列考核。在委管企业和省管二级企业开展巡察工作试点，推动国企巡视巡察向基层延伸。严格落实案件查办、纪律处分、典型通报等“五位一体”制度体系建设成果，营造风清气正良好环境。</w:t>
      </w:r>
    </w:p>
    <w:p>
      <w:pPr>
        <w:snapToGrid w:val="0"/>
        <w:spacing w:line="60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6.</w:t>
      </w:r>
      <w:r>
        <w:rPr>
          <w:rFonts w:hint="eastAsia" w:ascii="仿宋" w:hAnsi="仿宋" w:eastAsia="仿宋"/>
          <w:bCs/>
          <w:color w:val="000000"/>
          <w:sz w:val="32"/>
          <w:szCs w:val="32"/>
        </w:rPr>
        <w:t>突出优势强化担当，国企精准扶贫取得新成效</w:t>
      </w:r>
    </w:p>
    <w:p>
      <w:pPr>
        <w:snapToGrid w:val="0"/>
        <w:spacing w:line="60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围绕脱贫攻坚“头等大事”，以藏区彝区等“四大片区”为重点，督促61户国企做深做实65个贫困县定点帮扶工作（其中深度贫困县45个）。产业扶贫方面，大力实施“国企入凉”“国企康巴行动”，在“四大片区”投资建设能源、交通、旅游、医疗等项目56个、总投资1.2万亿元。协调央企扶贫基金落地四川设立子基金，签约14个项目总投资117亿元。扎实抓好扶贫产品销售，川商投组建扶贫产品专业销售公司，交投、铁投开设扶贫产品“进公路”销售专区专店2个、专柜6个，东客站、双流机场开设扶贫产品销售店。驻村帮扶方面，全系统共派出500余名驻村干部、精准帮扶459个贫困村，近3年累计无偿投入资金5.2亿元，帮助55个村退出、1458户脱贫。省国资委及23户国企、18名驻村干部受到省委省政府表彰。</w:t>
      </w:r>
    </w:p>
    <w:p>
      <w:pPr>
        <w:snapToGrid w:val="0"/>
        <w:spacing w:line="60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经过近年来的不懈努力，全省国有企业蓬勃发展，生产总值、完成投资、上交税费分别占全省的30%、40%、50%左右，成为我省经济社会发展中当之无愧的“顶梁柱”“主力军”和“排头兵”。我省国资国企改革发展的探索实践，受到刘鹤副总理、王勇国务委员等中央领导同志多次表扬。2016至2018年，我省连续3年在全国国企改革座谈会上交流经验。这些成绩的取得，离不开省委省政府的坚强领导和省财政厅的大力支持。</w:t>
      </w:r>
    </w:p>
    <w:p>
      <w:pPr>
        <w:pStyle w:val="4"/>
        <w:rPr>
          <w:rStyle w:val="28"/>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8"/>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lang w:eastAsia="zh-CN"/>
        </w:rPr>
        <w:t>省国资委</w:t>
      </w:r>
      <w:r>
        <w:rPr>
          <w:rFonts w:hint="eastAsia" w:ascii="仿宋" w:hAnsi="仿宋" w:eastAsia="仿宋"/>
          <w:sz w:val="32"/>
          <w:szCs w:val="32"/>
        </w:rPr>
        <w:t>下属二级单位</w:t>
      </w:r>
      <w:r>
        <w:rPr>
          <w:rFonts w:hint="eastAsia" w:ascii="仿宋" w:hAnsi="仿宋" w:eastAsia="仿宋"/>
          <w:sz w:val="32"/>
          <w:szCs w:val="32"/>
          <w:lang w:val="en-US" w:eastAsia="zh-CN"/>
        </w:rPr>
        <w:t>2</w:t>
      </w:r>
      <w:r>
        <w:rPr>
          <w:rFonts w:hint="eastAsia" w:ascii="仿宋" w:hAnsi="仿宋" w:eastAsia="仿宋"/>
          <w:sz w:val="32"/>
          <w:szCs w:val="32"/>
        </w:rPr>
        <w:t>个，其中行政单位</w:t>
      </w:r>
      <w:r>
        <w:rPr>
          <w:rFonts w:hint="eastAsia" w:ascii="仿宋" w:hAnsi="仿宋" w:eastAsia="仿宋"/>
          <w:sz w:val="32"/>
          <w:szCs w:val="32"/>
          <w:lang w:val="en-US" w:eastAsia="zh-CN"/>
        </w:rPr>
        <w:t>1</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1</w:t>
      </w:r>
      <w:r>
        <w:rPr>
          <w:rFonts w:hint="eastAsia" w:ascii="仿宋" w:hAnsi="仿宋" w:eastAsia="仿宋"/>
          <w:sz w:val="32"/>
          <w:szCs w:val="32"/>
        </w:rPr>
        <w:t>个。</w:t>
      </w:r>
    </w:p>
    <w:p>
      <w:pPr>
        <w:pStyle w:val="6"/>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eastAsia="zh-CN"/>
        </w:rPr>
        <w:t>省国资委</w:t>
      </w:r>
      <w:r>
        <w:rPr>
          <w:rFonts w:hint="eastAsia" w:ascii="仿宋" w:hAnsi="仿宋" w:eastAsia="仿宋"/>
          <w:color w:val="000000"/>
          <w:sz w:val="32"/>
          <w:szCs w:val="32"/>
        </w:rPr>
        <w:t>2018年度部门决算编制范围的二级预算单位包括：</w:t>
      </w:r>
    </w:p>
    <w:p>
      <w:pPr>
        <w:pStyle w:val="6"/>
        <w:numPr>
          <w:ilvl w:val="0"/>
          <w:numId w:val="2"/>
        </w:numPr>
        <w:adjustRightInd w:val="0"/>
        <w:snapToGrid w:val="0"/>
        <w:spacing w:before="93" w:line="600" w:lineRule="exact"/>
        <w:outlineLvl w:val="2"/>
        <w:rPr>
          <w:rFonts w:ascii="仿宋" w:hAnsi="仿宋" w:eastAsia="仿宋"/>
          <w:color w:val="000000"/>
          <w:sz w:val="32"/>
          <w:szCs w:val="32"/>
        </w:rPr>
      </w:pPr>
      <w:bookmarkStart w:id="22" w:name="_Toc15378449"/>
      <w:bookmarkStart w:id="23" w:name="_Toc15306276"/>
      <w:bookmarkStart w:id="24" w:name="_Toc15377202"/>
      <w:bookmarkStart w:id="25" w:name="_Toc15377433"/>
      <w:r>
        <w:rPr>
          <w:rFonts w:hint="eastAsia" w:ascii="仿宋" w:hAnsi="仿宋" w:eastAsia="仿宋"/>
          <w:color w:val="000000"/>
          <w:sz w:val="32"/>
          <w:szCs w:val="32"/>
          <w:lang w:eastAsia="zh-CN"/>
        </w:rPr>
        <w:t>四川省政府国有资产监督管理委员会</w:t>
      </w:r>
      <w:bookmarkEnd w:id="22"/>
      <w:bookmarkEnd w:id="23"/>
      <w:bookmarkEnd w:id="24"/>
      <w:bookmarkEnd w:id="25"/>
      <w:r>
        <w:rPr>
          <w:rFonts w:hint="eastAsia" w:ascii="仿宋" w:hAnsi="仿宋" w:eastAsia="仿宋"/>
          <w:color w:val="000000"/>
          <w:sz w:val="32"/>
          <w:szCs w:val="32"/>
          <w:lang w:eastAsia="zh-CN"/>
        </w:rPr>
        <w:t>机关</w:t>
      </w:r>
    </w:p>
    <w:p>
      <w:pPr>
        <w:pStyle w:val="6"/>
        <w:numPr>
          <w:ilvl w:val="0"/>
          <w:numId w:val="2"/>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四川省政府国有资产监督管理委员会机关服务中心</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3"/>
        <w:ind w:right="440"/>
        <w:jc w:val="right"/>
        <w:rPr>
          <w:rStyle w:val="27"/>
          <w:rFonts w:ascii="黑体" w:hAnsi="黑体" w:eastAsia="黑体"/>
          <w:b w:val="0"/>
          <w:bCs w:val="0"/>
        </w:rPr>
      </w:pPr>
      <w:bookmarkStart w:id="26" w:name="_Toc15396602"/>
      <w:bookmarkStart w:id="27"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7"/>
          <w:rFonts w:hint="eastAsia" w:ascii="黑体" w:hAnsi="黑体" w:eastAsia="黑体"/>
          <w:b w:val="0"/>
          <w:bCs w:val="0"/>
        </w:rPr>
        <w:t>2018年度部门决算情况说明</w:t>
      </w:r>
      <w:bookmarkEnd w:id="26"/>
      <w:bookmarkEnd w:id="27"/>
    </w:p>
    <w:p/>
    <w:p>
      <w:pPr>
        <w:pStyle w:val="26"/>
        <w:numPr>
          <w:ilvl w:val="0"/>
          <w:numId w:val="3"/>
        </w:numPr>
        <w:spacing w:line="600" w:lineRule="exact"/>
        <w:ind w:firstLineChars="0"/>
        <w:outlineLvl w:val="1"/>
        <w:rPr>
          <w:rStyle w:val="28"/>
          <w:rFonts w:ascii="黑体" w:hAnsi="黑体" w:eastAsia="黑体"/>
          <w:b w:val="0"/>
        </w:rPr>
      </w:pPr>
      <w:bookmarkStart w:id="28" w:name="_Toc15377205"/>
      <w:bookmarkStart w:id="29" w:name="_Toc15396603"/>
      <w:r>
        <w:rPr>
          <w:rFonts w:hint="eastAsia" w:ascii="黑体" w:hAnsi="黑体" w:eastAsia="黑体"/>
          <w:color w:val="000000"/>
          <w:sz w:val="32"/>
          <w:szCs w:val="32"/>
        </w:rPr>
        <w:t>收</w:t>
      </w:r>
      <w:r>
        <w:rPr>
          <w:rStyle w:val="28"/>
          <w:rFonts w:hint="eastAsia" w:ascii="黑体" w:hAnsi="黑体" w:eastAsia="黑体"/>
          <w:b w:val="0"/>
        </w:rPr>
        <w:t>入支出决算总体情况说明</w:t>
      </w:r>
      <w:bookmarkEnd w:id="28"/>
      <w:bookmarkEnd w:id="29"/>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2018年度收、支总计</w:t>
      </w:r>
      <w:r>
        <w:rPr>
          <w:rFonts w:hint="eastAsia" w:ascii="仿宋" w:hAnsi="仿宋" w:eastAsia="仿宋"/>
          <w:color w:val="000000"/>
          <w:sz w:val="32"/>
          <w:szCs w:val="32"/>
          <w:lang w:val="en-US" w:eastAsia="zh-CN"/>
        </w:rPr>
        <w:t>10412.46</w:t>
      </w:r>
      <w:r>
        <w:rPr>
          <w:rFonts w:hint="eastAsia" w:ascii="仿宋" w:hAnsi="仿宋" w:eastAsia="仿宋"/>
          <w:color w:val="000000"/>
          <w:sz w:val="32"/>
          <w:szCs w:val="32"/>
        </w:rPr>
        <w:t>万元。与2017年相比，收、支总计各减少</w:t>
      </w:r>
      <w:r>
        <w:rPr>
          <w:rFonts w:hint="eastAsia" w:ascii="仿宋" w:hAnsi="仿宋" w:eastAsia="仿宋"/>
          <w:color w:val="000000"/>
          <w:sz w:val="32"/>
          <w:szCs w:val="32"/>
          <w:lang w:val="en-US" w:eastAsia="zh-CN"/>
        </w:rPr>
        <w:t>160.57</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1.52</w:t>
      </w:r>
      <w:r>
        <w:rPr>
          <w:rFonts w:ascii="仿宋" w:hAnsi="仿宋" w:eastAsia="仿宋"/>
          <w:color w:val="000000"/>
          <w:sz w:val="32"/>
          <w:szCs w:val="32"/>
        </w:rPr>
        <w:t>%</w:t>
      </w:r>
      <w:r>
        <w:rPr>
          <w:rFonts w:hint="eastAsia" w:ascii="仿宋" w:hAnsi="仿宋" w:eastAsia="仿宋"/>
          <w:color w:val="000000"/>
          <w:sz w:val="32"/>
          <w:szCs w:val="32"/>
        </w:rPr>
        <w:t>。主要变动原因是转拨企业科学应用技术研发</w:t>
      </w:r>
      <w:r>
        <w:rPr>
          <w:rFonts w:hint="eastAsia" w:ascii="仿宋" w:hAnsi="仿宋" w:eastAsia="仿宋"/>
          <w:color w:val="000000"/>
          <w:sz w:val="32"/>
          <w:szCs w:val="32"/>
          <w:lang w:eastAsia="zh-CN"/>
        </w:rPr>
        <w:t>支出、</w:t>
      </w:r>
      <w:r>
        <w:rPr>
          <w:rFonts w:hint="eastAsia" w:ascii="仿宋" w:hAnsi="仿宋" w:eastAsia="仿宋"/>
          <w:color w:val="000000"/>
          <w:sz w:val="32"/>
          <w:szCs w:val="32"/>
        </w:rPr>
        <w:t>商品服务支出</w:t>
      </w:r>
      <w:r>
        <w:rPr>
          <w:rFonts w:hint="eastAsia" w:ascii="仿宋" w:hAnsi="仿宋" w:eastAsia="仿宋"/>
          <w:color w:val="000000"/>
          <w:sz w:val="32"/>
          <w:szCs w:val="32"/>
          <w:lang w:eastAsia="zh-CN"/>
        </w:rPr>
        <w:t>、</w:t>
      </w:r>
      <w:r>
        <w:rPr>
          <w:rFonts w:hint="eastAsia" w:ascii="仿宋" w:hAnsi="仿宋" w:eastAsia="仿宋"/>
          <w:color w:val="000000"/>
          <w:sz w:val="32"/>
          <w:szCs w:val="32"/>
        </w:rPr>
        <w:t>转拨补助企业资金、其他共产党事务支出</w:t>
      </w:r>
      <w:r>
        <w:rPr>
          <w:rFonts w:hint="eastAsia" w:ascii="仿宋" w:hAnsi="仿宋" w:eastAsia="仿宋"/>
          <w:color w:val="000000"/>
          <w:sz w:val="32"/>
          <w:szCs w:val="32"/>
          <w:lang w:eastAsia="zh-CN"/>
        </w:rPr>
        <w:t>等减少。</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drawing>
          <wp:anchor distT="0" distB="0" distL="114300" distR="114300" simplePos="0" relativeHeight="251672576" behindDoc="0" locked="0" layoutInCell="1" allowOverlap="1">
            <wp:simplePos x="0" y="0"/>
            <wp:positionH relativeFrom="column">
              <wp:posOffset>191770</wp:posOffset>
            </wp:positionH>
            <wp:positionV relativeFrom="paragraph">
              <wp:posOffset>114300</wp:posOffset>
            </wp:positionV>
            <wp:extent cx="3766820" cy="2247900"/>
            <wp:effectExtent l="4445" t="5080" r="19685" b="1397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pStyle w:val="26"/>
        <w:numPr>
          <w:ilvl w:val="0"/>
          <w:numId w:val="3"/>
        </w:numPr>
        <w:spacing w:line="600" w:lineRule="exact"/>
        <w:ind w:firstLineChars="0"/>
        <w:outlineLvl w:val="1"/>
        <w:rPr>
          <w:rStyle w:val="28"/>
          <w:rFonts w:ascii="黑体" w:hAnsi="黑体" w:eastAsia="黑体"/>
          <w:b w:val="0"/>
        </w:rPr>
      </w:pPr>
      <w:bookmarkStart w:id="30" w:name="_Toc15396604"/>
      <w:bookmarkStart w:id="31" w:name="_Toc15377206"/>
      <w:r>
        <w:rPr>
          <w:rFonts w:hint="eastAsia" w:ascii="黑体" w:hAnsi="黑体" w:eastAsia="黑体"/>
          <w:color w:val="000000"/>
          <w:sz w:val="32"/>
          <w:szCs w:val="32"/>
        </w:rPr>
        <w:t>收</w:t>
      </w:r>
      <w:r>
        <w:rPr>
          <w:rStyle w:val="28"/>
          <w:rFonts w:hint="eastAsia" w:ascii="黑体" w:hAnsi="黑体" w:eastAsia="黑体"/>
          <w:b w:val="0"/>
        </w:rPr>
        <w:t>入决算情况说明</w:t>
      </w:r>
      <w:bookmarkEnd w:id="30"/>
      <w:bookmarkEnd w:id="31"/>
    </w:p>
    <w:p>
      <w:pPr>
        <w:spacing w:line="600" w:lineRule="exact"/>
        <w:ind w:firstLine="64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hint="eastAsia" w:ascii="仿宋" w:hAnsi="仿宋" w:eastAsia="仿宋"/>
          <w:color w:val="000000"/>
          <w:sz w:val="32"/>
          <w:szCs w:val="32"/>
          <w:lang w:val="en-US" w:eastAsia="zh-CN"/>
        </w:rPr>
        <w:t>10412.46</w:t>
      </w:r>
      <w:r>
        <w:rPr>
          <w:rFonts w:hint="eastAsia" w:ascii="仿宋" w:hAnsi="仿宋" w:eastAsia="仿宋"/>
          <w:color w:val="000000"/>
          <w:sz w:val="32"/>
          <w:szCs w:val="32"/>
        </w:rPr>
        <w:t>万元，其中：</w:t>
      </w:r>
      <w:r>
        <w:rPr>
          <w:rFonts w:hint="eastAsia" w:ascii="仿宋" w:hAnsi="仿宋" w:eastAsia="仿宋"/>
          <w:color w:val="000000" w:themeColor="text1"/>
          <w:sz w:val="32"/>
          <w:szCs w:val="32"/>
          <w14:textFill>
            <w14:solidFill>
              <w14:schemeClr w14:val="tx1"/>
            </w14:solidFill>
          </w14:textFill>
        </w:rPr>
        <w:t>一般公共预算财政拨款收入</w:t>
      </w:r>
      <w:r>
        <w:rPr>
          <w:rFonts w:hint="eastAsia" w:ascii="仿宋" w:hAnsi="仿宋" w:eastAsia="仿宋"/>
          <w:color w:val="000000" w:themeColor="text1"/>
          <w:sz w:val="32"/>
          <w:szCs w:val="32"/>
          <w:lang w:val="en-US" w:eastAsia="zh-CN"/>
          <w14:textFill>
            <w14:solidFill>
              <w14:schemeClr w14:val="tx1"/>
            </w14:solidFill>
          </w14:textFill>
        </w:rPr>
        <w:t>10412.38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99.999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；政府性基金预算财政拨款收入</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；国有资本经营预算财政拨款收入</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；事业收入</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；经营收入</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；附属单位上缴收入</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；其他收入</w:t>
      </w:r>
      <w:r>
        <w:rPr>
          <w:rFonts w:hint="eastAsia" w:ascii="仿宋" w:hAnsi="仿宋" w:eastAsia="仿宋"/>
          <w:color w:val="000000" w:themeColor="text1"/>
          <w:sz w:val="32"/>
          <w:szCs w:val="32"/>
          <w:lang w:val="en-US" w:eastAsia="zh-CN"/>
          <w14:textFill>
            <w14:solidFill>
              <w14:schemeClr w14:val="tx1"/>
            </w14:solidFill>
          </w14:textFill>
        </w:rPr>
        <w:t>0.08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0.001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73600" behindDoc="0" locked="0" layoutInCell="1" allowOverlap="1">
            <wp:simplePos x="0" y="0"/>
            <wp:positionH relativeFrom="column">
              <wp:posOffset>220345</wp:posOffset>
            </wp:positionH>
            <wp:positionV relativeFrom="paragraph">
              <wp:posOffset>52070</wp:posOffset>
            </wp:positionV>
            <wp:extent cx="3745865" cy="2373630"/>
            <wp:effectExtent l="4445" t="4445" r="21590" b="2222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图2：收入决算结构图</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pStyle w:val="26"/>
        <w:numPr>
          <w:ilvl w:val="0"/>
          <w:numId w:val="3"/>
        </w:numPr>
        <w:spacing w:line="600" w:lineRule="exact"/>
        <w:ind w:firstLineChars="0"/>
        <w:outlineLvl w:val="1"/>
        <w:rPr>
          <w:rStyle w:val="28"/>
          <w:rFonts w:ascii="黑体" w:hAnsi="黑体" w:eastAsia="黑体"/>
          <w:b w:val="0"/>
        </w:rPr>
      </w:pPr>
      <w:bookmarkStart w:id="32" w:name="_Toc15377207"/>
      <w:bookmarkStart w:id="33" w:name="_Toc15396605"/>
      <w:r>
        <w:rPr>
          <w:rFonts w:hint="eastAsia" w:ascii="黑体" w:hAnsi="黑体" w:eastAsia="黑体"/>
          <w:color w:val="000000"/>
          <w:sz w:val="32"/>
          <w:szCs w:val="32"/>
        </w:rPr>
        <w:t>支</w:t>
      </w:r>
      <w:r>
        <w:rPr>
          <w:rStyle w:val="28"/>
          <w:rFonts w:hint="eastAsia" w:ascii="黑体" w:hAnsi="黑体" w:eastAsia="黑体"/>
          <w:b w:val="0"/>
        </w:rPr>
        <w:t>出决算情况说明</w:t>
      </w:r>
      <w:bookmarkEnd w:id="32"/>
      <w:bookmarkEnd w:id="33"/>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olor w:val="000000"/>
          <w:sz w:val="32"/>
          <w:szCs w:val="32"/>
          <w:lang w:val="en-US" w:eastAsia="zh-CN"/>
        </w:rPr>
        <w:t>10412.46</w:t>
      </w:r>
      <w:r>
        <w:rPr>
          <w:rFonts w:hint="eastAsia" w:ascii="仿宋" w:hAnsi="仿宋" w:eastAsia="仿宋"/>
          <w:color w:val="000000"/>
          <w:sz w:val="32"/>
          <w:szCs w:val="32"/>
        </w:rPr>
        <w:t>万元，其中：基本支出5,590.57万元，占</w:t>
      </w:r>
      <w:r>
        <w:rPr>
          <w:rFonts w:hint="eastAsia" w:ascii="仿宋" w:hAnsi="仿宋" w:eastAsia="仿宋"/>
          <w:color w:val="000000"/>
          <w:sz w:val="32"/>
          <w:szCs w:val="32"/>
          <w:lang w:val="en-US" w:eastAsia="zh-CN"/>
        </w:rPr>
        <w:t>53.69</w:t>
      </w:r>
      <w:r>
        <w:rPr>
          <w:rFonts w:ascii="仿宋" w:hAnsi="仿宋" w:eastAsia="仿宋"/>
          <w:color w:val="000000"/>
          <w:sz w:val="32"/>
          <w:szCs w:val="32"/>
        </w:rPr>
        <w:t>%</w:t>
      </w:r>
      <w:r>
        <w:rPr>
          <w:rFonts w:hint="eastAsia" w:ascii="仿宋" w:hAnsi="仿宋" w:eastAsia="仿宋"/>
          <w:color w:val="000000"/>
          <w:sz w:val="32"/>
          <w:szCs w:val="32"/>
        </w:rPr>
        <w:t>；项目支出4,821.88万元，占</w:t>
      </w:r>
      <w:r>
        <w:rPr>
          <w:rFonts w:hint="eastAsia" w:ascii="仿宋" w:hAnsi="仿宋" w:eastAsia="仿宋"/>
          <w:color w:val="000000"/>
          <w:sz w:val="32"/>
          <w:szCs w:val="32"/>
          <w:lang w:val="en-US" w:eastAsia="zh-CN"/>
        </w:rPr>
        <w:t>46.31</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lang w:eastAsia="zh-CN"/>
        </w:rPr>
        <w:drawing>
          <wp:anchor distT="0" distB="0" distL="114300" distR="114300" simplePos="0" relativeHeight="251674624" behindDoc="0" locked="0" layoutInCell="1" allowOverlap="1">
            <wp:simplePos x="0" y="0"/>
            <wp:positionH relativeFrom="column">
              <wp:posOffset>266700</wp:posOffset>
            </wp:positionH>
            <wp:positionV relativeFrom="paragraph">
              <wp:posOffset>22860</wp:posOffset>
            </wp:positionV>
            <wp:extent cx="3597910" cy="2373630"/>
            <wp:effectExtent l="4445" t="4445" r="17145" b="2222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图3：支出决算结构图</w:t>
      </w:r>
    </w:p>
    <w:p>
      <w:pPr>
        <w:spacing w:line="600" w:lineRule="exact"/>
        <w:ind w:firstLine="640" w:firstLineChars="200"/>
        <w:outlineLvl w:val="1"/>
        <w:rPr>
          <w:rStyle w:val="28"/>
          <w:rFonts w:ascii="黑体" w:hAnsi="黑体" w:eastAsia="黑体"/>
          <w:b w:val="0"/>
        </w:rPr>
      </w:pPr>
      <w:bookmarkStart w:id="34" w:name="_Toc15377208"/>
      <w:bookmarkStart w:id="35" w:name="_Toc15396606"/>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34"/>
      <w:bookmarkEnd w:id="35"/>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8年财政拨款收、支总计</w:t>
      </w:r>
      <w:r>
        <w:rPr>
          <w:rFonts w:hint="eastAsia" w:ascii="仿宋" w:hAnsi="仿宋" w:eastAsia="仿宋"/>
          <w:color w:val="000000"/>
          <w:sz w:val="32"/>
          <w:szCs w:val="32"/>
          <w:lang w:val="en-US" w:eastAsia="zh-CN"/>
        </w:rPr>
        <w:t>10412.38</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7年相比，财政拨款收、支总计各减少</w:t>
      </w:r>
      <w:r>
        <w:rPr>
          <w:rFonts w:hint="eastAsia" w:ascii="仿宋" w:hAnsi="仿宋" w:eastAsia="仿宋"/>
          <w:color w:val="000000"/>
          <w:sz w:val="32"/>
          <w:szCs w:val="32"/>
          <w:lang w:val="en-US" w:eastAsia="zh-CN"/>
        </w:rPr>
        <w:t>156.04</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1.48</w:t>
      </w:r>
      <w:r>
        <w:rPr>
          <w:rFonts w:ascii="仿宋" w:hAnsi="仿宋" w:eastAsia="仿宋"/>
          <w:color w:val="000000"/>
          <w:sz w:val="32"/>
          <w:szCs w:val="32"/>
        </w:rPr>
        <w:t>%</w:t>
      </w:r>
      <w:r>
        <w:rPr>
          <w:rFonts w:hint="eastAsia" w:ascii="仿宋" w:hAnsi="仿宋" w:eastAsia="仿宋"/>
          <w:color w:val="000000"/>
          <w:sz w:val="32"/>
          <w:szCs w:val="32"/>
        </w:rPr>
        <w:t>。主要变动原因是转拨企业科学应用技术研发</w:t>
      </w:r>
      <w:r>
        <w:rPr>
          <w:rFonts w:hint="eastAsia" w:ascii="仿宋" w:hAnsi="仿宋" w:eastAsia="仿宋"/>
          <w:color w:val="000000"/>
          <w:sz w:val="32"/>
          <w:szCs w:val="32"/>
          <w:lang w:eastAsia="zh-CN"/>
        </w:rPr>
        <w:t>支出、</w:t>
      </w:r>
      <w:r>
        <w:rPr>
          <w:rFonts w:hint="eastAsia" w:ascii="仿宋" w:hAnsi="仿宋" w:eastAsia="仿宋"/>
          <w:color w:val="000000"/>
          <w:sz w:val="32"/>
          <w:szCs w:val="32"/>
        </w:rPr>
        <w:t>商品服务支出</w:t>
      </w:r>
      <w:r>
        <w:rPr>
          <w:rFonts w:hint="eastAsia" w:ascii="仿宋" w:hAnsi="仿宋" w:eastAsia="仿宋"/>
          <w:color w:val="000000"/>
          <w:sz w:val="32"/>
          <w:szCs w:val="32"/>
          <w:lang w:eastAsia="zh-CN"/>
        </w:rPr>
        <w:t>、</w:t>
      </w:r>
      <w:r>
        <w:rPr>
          <w:rFonts w:hint="eastAsia" w:ascii="仿宋" w:hAnsi="仿宋" w:eastAsia="仿宋"/>
          <w:color w:val="000000"/>
          <w:sz w:val="32"/>
          <w:szCs w:val="32"/>
        </w:rPr>
        <w:t>转拨补助企业资金、其他共产党事务支出</w:t>
      </w:r>
      <w:r>
        <w:rPr>
          <w:rFonts w:hint="eastAsia" w:ascii="仿宋" w:hAnsi="仿宋" w:eastAsia="仿宋"/>
          <w:color w:val="000000"/>
          <w:sz w:val="32"/>
          <w:szCs w:val="32"/>
          <w:lang w:eastAsia="zh-CN"/>
        </w:rPr>
        <w:t>等减少。</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lang w:eastAsia="zh-CN"/>
        </w:rPr>
        <w:drawing>
          <wp:anchor distT="0" distB="0" distL="114300" distR="114300" simplePos="0" relativeHeight="251675648" behindDoc="0" locked="0" layoutInCell="1" allowOverlap="1">
            <wp:simplePos x="0" y="0"/>
            <wp:positionH relativeFrom="column">
              <wp:posOffset>252095</wp:posOffset>
            </wp:positionH>
            <wp:positionV relativeFrom="paragraph">
              <wp:posOffset>33020</wp:posOffset>
            </wp:positionV>
            <wp:extent cx="3881755" cy="2288540"/>
            <wp:effectExtent l="5080" t="5080" r="18415" b="1143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000000" w:themeColor="text1"/>
          <w:sz w:val="32"/>
          <w:szCs w:val="32"/>
          <w14:textFill>
            <w14:solidFill>
              <w14:schemeClr w14:val="tx1"/>
            </w14:solidFill>
          </w14:textFill>
        </w:rPr>
        <w:t>图4：财政拨款收、支决算总计变动情况</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outlineLvl w:val="1"/>
        <w:rPr>
          <w:rStyle w:val="28"/>
          <w:rFonts w:ascii="黑体" w:hAnsi="黑体" w:eastAsia="黑体"/>
          <w:b w:val="0"/>
        </w:rPr>
      </w:pPr>
      <w:bookmarkStart w:id="36" w:name="_Toc15377209"/>
      <w:bookmarkStart w:id="37"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般公共预算财政拨款支出决算情况说明</w:t>
      </w:r>
      <w:bookmarkEnd w:id="36"/>
      <w:bookmarkEnd w:id="37"/>
    </w:p>
    <w:p>
      <w:pPr>
        <w:spacing w:line="600" w:lineRule="exact"/>
        <w:ind w:firstLine="640"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sz w:val="32"/>
          <w:szCs w:val="32"/>
          <w:lang w:val="en-US" w:eastAsia="zh-CN"/>
        </w:rPr>
        <w:t>10412.38</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99.999</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7年相比，一般公共预算财政拨款减少</w:t>
      </w:r>
      <w:r>
        <w:rPr>
          <w:rFonts w:hint="eastAsia" w:ascii="仿宋" w:hAnsi="仿宋" w:eastAsia="仿宋"/>
          <w:color w:val="000000"/>
          <w:sz w:val="32"/>
          <w:szCs w:val="32"/>
          <w:lang w:val="en-US" w:eastAsia="zh-CN"/>
        </w:rPr>
        <w:t>156.04</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1.48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主要变动原因是转拨企业科学应用技术研发</w:t>
      </w:r>
      <w:r>
        <w:rPr>
          <w:rFonts w:hint="eastAsia" w:ascii="仿宋" w:hAnsi="仿宋" w:eastAsia="仿宋"/>
          <w:color w:val="000000" w:themeColor="text1"/>
          <w:sz w:val="32"/>
          <w:szCs w:val="32"/>
          <w:lang w:eastAsia="zh-CN"/>
          <w14:textFill>
            <w14:solidFill>
              <w14:schemeClr w14:val="tx1"/>
            </w14:solidFill>
          </w14:textFill>
        </w:rPr>
        <w:t>支出、</w:t>
      </w:r>
      <w:r>
        <w:rPr>
          <w:rFonts w:hint="eastAsia" w:ascii="仿宋" w:hAnsi="仿宋" w:eastAsia="仿宋"/>
          <w:color w:val="000000" w:themeColor="text1"/>
          <w:sz w:val="32"/>
          <w:szCs w:val="32"/>
          <w14:textFill>
            <w14:solidFill>
              <w14:schemeClr w14:val="tx1"/>
            </w14:solidFill>
          </w14:textFill>
        </w:rPr>
        <w:t>商品服务支出</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转拨补助企业资金、其他共产党事务支出</w:t>
      </w:r>
      <w:r>
        <w:rPr>
          <w:rFonts w:hint="eastAsia" w:ascii="仿宋" w:hAnsi="仿宋" w:eastAsia="仿宋"/>
          <w:color w:val="000000" w:themeColor="text1"/>
          <w:sz w:val="32"/>
          <w:szCs w:val="32"/>
          <w:lang w:eastAsia="zh-CN"/>
          <w14:textFill>
            <w14:solidFill>
              <w14:schemeClr w14:val="tx1"/>
            </w14:solidFill>
          </w14:textFill>
        </w:rPr>
        <w:t>等减少。</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lang w:eastAsia="zh-CN"/>
        </w:rPr>
        <w:drawing>
          <wp:anchor distT="0" distB="0" distL="114300" distR="114300" simplePos="0" relativeHeight="251676672" behindDoc="0" locked="0" layoutInCell="1" allowOverlap="1">
            <wp:simplePos x="0" y="0"/>
            <wp:positionH relativeFrom="column">
              <wp:posOffset>325120</wp:posOffset>
            </wp:positionH>
            <wp:positionV relativeFrom="paragraph">
              <wp:posOffset>33020</wp:posOffset>
            </wp:positionV>
            <wp:extent cx="4364990" cy="2313940"/>
            <wp:effectExtent l="4445" t="4445" r="12065" b="571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000000" w:themeColor="text1"/>
          <w:sz w:val="32"/>
          <w:szCs w:val="32"/>
          <w14:textFill>
            <w14:solidFill>
              <w14:schemeClr w14:val="tx1"/>
            </w14:solidFill>
          </w14:textFill>
        </w:rPr>
        <w:t>图5：一般公共预算财政拨款支出决算变动情况</w:t>
      </w:r>
    </w:p>
    <w:p>
      <w:pPr>
        <w:spacing w:line="600" w:lineRule="exact"/>
        <w:ind w:firstLine="640" w:firstLineChars="200"/>
        <w:outlineLvl w:val="2"/>
        <w:rPr>
          <w:rFonts w:ascii="仿宋" w:hAnsi="仿宋" w:eastAsia="仿宋"/>
          <w:b/>
          <w:color w:val="000000"/>
          <w:sz w:val="32"/>
          <w:szCs w:val="32"/>
        </w:rPr>
      </w:pPr>
      <w:bookmarkStart w:id="39" w:name="_Toc15377211"/>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10412.38</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color w:val="000000" w:themeColor="text1"/>
          <w:sz w:val="32"/>
          <w:szCs w:val="32"/>
          <w:lang w:val="en-US" w:eastAsia="zh-CN"/>
          <w14:textFill>
            <w14:solidFill>
              <w14:schemeClr w14:val="tx1"/>
            </w14:solidFill>
          </w14:textFill>
        </w:rPr>
        <w:t>47.79</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0.46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科学技术（类）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584.00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5.61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2605.28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25.02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医疗卫生（类）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181.18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1.74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资源勘探信息等（类）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6400.17万元</w:t>
      </w:r>
      <w:r>
        <w:rPr>
          <w:rFonts w:hint="eastAsia" w:ascii="仿宋" w:hAnsi="仿宋" w:eastAsia="仿宋"/>
          <w:color w:val="000000" w:themeColor="text1"/>
          <w:sz w:val="32"/>
          <w:szCs w:val="32"/>
          <w:lang w:eastAsia="zh-CN"/>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61.47%；</w:t>
      </w:r>
      <w:r>
        <w:rPr>
          <w:rFonts w:hint="eastAsia" w:ascii="仿宋" w:hAnsi="仿宋" w:eastAsia="仿宋"/>
          <w:b/>
          <w:color w:val="000000" w:themeColor="text1"/>
          <w:sz w:val="32"/>
          <w:szCs w:val="32"/>
          <w14:textFill>
            <w14:solidFill>
              <w14:schemeClr w14:val="tx1"/>
            </w14:solidFill>
          </w14:textFill>
        </w:rPr>
        <w:t>住房保障（类）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593.96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5.70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320" w:firstLineChars="100"/>
        <w:rPr>
          <w:rFonts w:ascii="仿宋" w:hAnsi="仿宋" w:eastAsia="仿宋"/>
          <w:color w:val="000000"/>
          <w:sz w:val="32"/>
          <w:szCs w:val="32"/>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77696" behindDoc="0" locked="0" layoutInCell="1" allowOverlap="1">
            <wp:simplePos x="0" y="0"/>
            <wp:positionH relativeFrom="column">
              <wp:posOffset>217170</wp:posOffset>
            </wp:positionH>
            <wp:positionV relativeFrom="paragraph">
              <wp:posOffset>48260</wp:posOffset>
            </wp:positionV>
            <wp:extent cx="3794125" cy="2235835"/>
            <wp:effectExtent l="4445" t="4445" r="11430" b="762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000000"/>
          <w:sz w:val="32"/>
          <w:szCs w:val="32"/>
        </w:rPr>
        <w:t>图6：一般公共预算财政拨款支出决算结构</w:t>
      </w:r>
    </w:p>
    <w:p>
      <w:pPr>
        <w:spacing w:line="600" w:lineRule="exact"/>
        <w:ind w:firstLine="640" w:firstLineChars="200"/>
        <w:outlineLvl w:val="2"/>
        <w:rPr>
          <w:rFonts w:ascii="仿宋" w:hAnsi="仿宋" w:eastAsia="仿宋"/>
          <w:b/>
          <w:color w:val="000000"/>
          <w:sz w:val="32"/>
          <w:szCs w:val="32"/>
        </w:rPr>
      </w:pPr>
      <w:bookmarkStart w:id="40" w:name="_Toc15377212"/>
      <w:r>
        <w:rPr>
          <w:rFonts w:hint="eastAsia" w:ascii="仿宋" w:hAnsi="仿宋" w:eastAsia="仿宋"/>
          <w:b/>
          <w:color w:val="000000"/>
          <w:sz w:val="32"/>
          <w:szCs w:val="32"/>
        </w:rPr>
        <w:t>（三）一般公共预算财政拨款支出决算具体情况</w:t>
      </w:r>
      <w:bookmarkEnd w:id="40"/>
    </w:p>
    <w:p>
      <w:pPr>
        <w:spacing w:line="600" w:lineRule="exact"/>
        <w:ind w:firstLine="640" w:firstLineChars="200"/>
        <w:outlineLvl w:val="2"/>
        <w:rPr>
          <w:rFonts w:hint="eastAsia" w:ascii="仿宋" w:hAnsi="仿宋" w:eastAsia="仿宋"/>
          <w:b/>
          <w:color w:val="000000" w:themeColor="text1"/>
          <w:sz w:val="32"/>
          <w:szCs w:val="32"/>
          <w14:textFill>
            <w14:solidFill>
              <w14:schemeClr w14:val="tx1"/>
            </w14:solidFill>
          </w14:textFill>
        </w:rPr>
      </w:pPr>
      <w:bookmarkStart w:id="41" w:name="_Toc15377213"/>
      <w:bookmarkStart w:id="42" w:name="_Toc15378460"/>
      <w:bookmarkStart w:id="43" w:name="_Toc15377444"/>
      <w:r>
        <w:rPr>
          <w:rFonts w:hint="eastAsia" w:ascii="仿宋" w:hAnsi="仿宋" w:eastAsia="仿宋"/>
          <w:b/>
          <w:color w:val="000000" w:themeColor="text1"/>
          <w:sz w:val="32"/>
          <w:szCs w:val="32"/>
          <w14:textFill>
            <w14:solidFill>
              <w14:schemeClr w14:val="tx1"/>
            </w14:solidFill>
          </w14:textFill>
        </w:rPr>
        <w:t>2018年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10412.38万元</w:t>
      </w:r>
      <w:r>
        <w:rPr>
          <w:rFonts w:hint="eastAsia" w:ascii="仿宋" w:hAnsi="仿宋" w:eastAsia="仿宋"/>
          <w:b/>
          <w:color w:val="000000" w:themeColor="text1"/>
          <w:sz w:val="32"/>
          <w:szCs w:val="32"/>
          <w14:textFill>
            <w14:solidFill>
              <w14:schemeClr w14:val="tx1"/>
            </w14:solidFill>
          </w14:textFill>
        </w:rPr>
        <w:t>，完成预算</w:t>
      </w:r>
      <w:r>
        <w:rPr>
          <w:rFonts w:hint="eastAsia" w:ascii="仿宋" w:hAnsi="仿宋" w:eastAsia="仿宋"/>
          <w:b/>
          <w:color w:val="000000" w:themeColor="text1"/>
          <w:sz w:val="32"/>
          <w:szCs w:val="32"/>
          <w:lang w:val="en-US" w:eastAsia="zh-CN"/>
          <w14:textFill>
            <w14:solidFill>
              <w14:schemeClr w14:val="tx1"/>
            </w14:solidFill>
          </w14:textFill>
        </w:rPr>
        <w:t>97.16</w:t>
      </w:r>
      <w:r>
        <w:rPr>
          <w:rFonts w:hint="eastAsia" w:ascii="仿宋" w:hAnsi="仿宋" w:eastAsia="仿宋"/>
          <w:b/>
          <w:color w:val="000000" w:themeColor="text1"/>
          <w:sz w:val="32"/>
          <w:szCs w:val="32"/>
          <w14:textFill>
            <w14:solidFill>
              <w14:schemeClr w14:val="tx1"/>
            </w14:solidFill>
          </w14:textFill>
        </w:rPr>
        <w:t>%。其中：</w:t>
      </w:r>
      <w:bookmarkEnd w:id="41"/>
      <w:bookmarkEnd w:id="42"/>
      <w:bookmarkEnd w:id="43"/>
    </w:p>
    <w:p>
      <w:pPr>
        <w:spacing w:line="600" w:lineRule="exact"/>
        <w:ind w:firstLine="640" w:firstLineChars="200"/>
        <w:rPr>
          <w:rFonts w:ascii="仿宋" w:hAnsi="仿宋" w:eastAsia="仿宋"/>
          <w:b/>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一般公共服务（类）</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Fonts w:ascii="仿宋" w:hAnsi="仿宋" w:eastAsia="仿宋"/>
          <w:b/>
          <w:color w:val="000000"/>
          <w:sz w:val="32"/>
          <w:szCs w:val="32"/>
        </w:rPr>
      </w:pPr>
      <w:r>
        <w:rPr>
          <w:rStyle w:val="15"/>
          <w:rFonts w:ascii="仿宋" w:hAnsi="仿宋" w:eastAsia="仿宋"/>
          <w:bCs/>
          <w:color w:val="000000"/>
          <w:sz w:val="32"/>
          <w:szCs w:val="32"/>
        </w:rPr>
        <w:t>2.</w:t>
      </w:r>
      <w:r>
        <w:rPr>
          <w:rStyle w:val="15"/>
          <w:rFonts w:hint="eastAsia" w:ascii="仿宋" w:hAnsi="仿宋" w:eastAsia="仿宋"/>
          <w:bCs/>
          <w:color w:val="000000"/>
          <w:sz w:val="32"/>
          <w:szCs w:val="32"/>
        </w:rPr>
        <w:t>教育（类）</w:t>
      </w:r>
      <w:r>
        <w:rPr>
          <w:rStyle w:val="15"/>
          <w:rFonts w:hint="eastAsia" w:ascii="仿宋" w:hAnsi="仿宋" w:eastAsia="仿宋"/>
          <w:bCs/>
          <w:color w:val="000000"/>
          <w:sz w:val="32"/>
          <w:szCs w:val="32"/>
          <w:lang w:eastAsia="zh-CN"/>
        </w:rPr>
        <w:t>进修及培训</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培训支出</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47.79</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75.86</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，决算数小于预算数的主要原因是厉行节约，减少培训次数，严控培训人数。</w:t>
      </w:r>
    </w:p>
    <w:p>
      <w:pPr>
        <w:spacing w:line="600" w:lineRule="exact"/>
        <w:ind w:firstLine="640" w:firstLineChars="200"/>
        <w:rPr>
          <w:rFonts w:ascii="仿宋" w:hAnsi="仿宋" w:eastAsia="仿宋"/>
          <w:b/>
          <w:color w:val="000000"/>
          <w:sz w:val="32"/>
          <w:szCs w:val="32"/>
        </w:rPr>
      </w:pPr>
      <w:r>
        <w:rPr>
          <w:rStyle w:val="15"/>
          <w:rFonts w:ascii="仿宋" w:hAnsi="仿宋" w:eastAsia="仿宋"/>
          <w:bCs/>
          <w:color w:val="000000"/>
          <w:sz w:val="32"/>
          <w:szCs w:val="32"/>
        </w:rPr>
        <w:t>3.</w:t>
      </w:r>
      <w:r>
        <w:rPr>
          <w:rStyle w:val="15"/>
          <w:rFonts w:hint="eastAsia" w:ascii="仿宋" w:hAnsi="仿宋" w:eastAsia="仿宋"/>
          <w:bCs/>
          <w:color w:val="000000"/>
          <w:sz w:val="32"/>
          <w:szCs w:val="32"/>
        </w:rPr>
        <w:t>科学技术（类）技术研究与开发（款）应用技术研究与开发（项）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584.00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Fonts w:ascii="仿宋" w:hAnsi="仿宋" w:eastAsia="仿宋"/>
          <w:b/>
          <w:color w:val="000000"/>
          <w:sz w:val="32"/>
          <w:szCs w:val="32"/>
        </w:rPr>
      </w:pPr>
      <w:r>
        <w:rPr>
          <w:rStyle w:val="15"/>
          <w:rFonts w:ascii="仿宋" w:hAnsi="仿宋" w:eastAsia="仿宋"/>
          <w:bCs/>
          <w:color w:val="000000"/>
          <w:sz w:val="32"/>
          <w:szCs w:val="32"/>
        </w:rPr>
        <w:t>4.</w:t>
      </w:r>
      <w:r>
        <w:rPr>
          <w:rStyle w:val="15"/>
          <w:rFonts w:hint="eastAsia" w:ascii="仿宋" w:hAnsi="仿宋" w:eastAsia="仿宋"/>
          <w:bCs/>
          <w:color w:val="000000"/>
          <w:sz w:val="32"/>
          <w:szCs w:val="32"/>
        </w:rPr>
        <w:t>文化体育与传媒（类）</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Style w:val="15"/>
          <w:rFonts w:hint="eastAsia" w:ascii="仿宋" w:hAnsi="仿宋" w:eastAsia="仿宋"/>
          <w:b w:val="0"/>
          <w:bCs/>
          <w:color w:val="000000"/>
          <w:sz w:val="32"/>
          <w:szCs w:val="32"/>
        </w:rPr>
      </w:pPr>
      <w:r>
        <w:rPr>
          <w:rStyle w:val="15"/>
          <w:rFonts w:ascii="仿宋" w:hAnsi="仿宋" w:eastAsia="仿宋"/>
          <w:bCs/>
          <w:color w:val="000000"/>
          <w:sz w:val="32"/>
          <w:szCs w:val="32"/>
        </w:rPr>
        <w:t>5.</w:t>
      </w:r>
      <w:r>
        <w:rPr>
          <w:rStyle w:val="15"/>
          <w:rFonts w:hint="eastAsia" w:ascii="仿宋" w:hAnsi="仿宋" w:eastAsia="仿宋"/>
          <w:bCs/>
          <w:color w:val="000000"/>
          <w:sz w:val="32"/>
          <w:szCs w:val="32"/>
        </w:rPr>
        <w:t>社会保障和就业（类）行政事业单位离退休（款）事业单位离退休（项）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6.49</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6</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社会保障和就业（类）行政事业单位离退休（款）未归口管理的行政单位离退休（项）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88.35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91.88</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val="en-US" w:eastAsia="zh-CN"/>
        </w:rPr>
        <w:t>,</w:t>
      </w:r>
      <w:r>
        <w:rPr>
          <w:rStyle w:val="15"/>
          <w:rFonts w:hint="eastAsia" w:ascii="仿宋" w:hAnsi="仿宋" w:eastAsia="仿宋"/>
          <w:b w:val="0"/>
          <w:bCs/>
          <w:color w:val="000000"/>
          <w:sz w:val="32"/>
          <w:szCs w:val="32"/>
        </w:rPr>
        <w:t>决算数小于预算数的主要原因是</w:t>
      </w:r>
      <w:r>
        <w:rPr>
          <w:rStyle w:val="15"/>
          <w:rFonts w:hint="eastAsia" w:ascii="仿宋" w:hAnsi="仿宋" w:eastAsia="仿宋"/>
          <w:b w:val="0"/>
          <w:bCs/>
          <w:color w:val="000000"/>
          <w:sz w:val="32"/>
          <w:szCs w:val="32"/>
          <w:lang w:eastAsia="zh-CN"/>
        </w:rPr>
        <w:t>人员变动，其他对个人和家庭的补助</w:t>
      </w:r>
      <w:r>
        <w:rPr>
          <w:rStyle w:val="15"/>
          <w:rFonts w:hint="eastAsia" w:ascii="华文仿宋" w:hAnsi="华文仿宋" w:eastAsia="华文仿宋" w:cs="华文仿宋"/>
          <w:b w:val="0"/>
          <w:bCs w:val="0"/>
          <w:sz w:val="32"/>
          <w:szCs w:val="32"/>
        </w:rPr>
        <w:t>实际</w:t>
      </w:r>
      <w:r>
        <w:rPr>
          <w:rStyle w:val="15"/>
          <w:rFonts w:hint="eastAsia" w:ascii="华文仿宋" w:hAnsi="华文仿宋" w:eastAsia="华文仿宋" w:cs="华文仿宋"/>
          <w:b w:val="0"/>
          <w:bCs w:val="0"/>
          <w:sz w:val="32"/>
          <w:szCs w:val="32"/>
          <w:lang w:eastAsia="zh-CN"/>
        </w:rPr>
        <w:t>支出</w:t>
      </w:r>
      <w:r>
        <w:rPr>
          <w:rStyle w:val="15"/>
          <w:rFonts w:hint="eastAsia" w:ascii="华文仿宋" w:hAnsi="华文仿宋" w:eastAsia="华文仿宋" w:cs="华文仿宋"/>
          <w:b w:val="0"/>
          <w:bCs w:val="0"/>
          <w:sz w:val="32"/>
          <w:szCs w:val="32"/>
        </w:rPr>
        <w:t>小于</w:t>
      </w:r>
      <w:r>
        <w:rPr>
          <w:rStyle w:val="15"/>
          <w:rFonts w:hint="eastAsia" w:ascii="华文仿宋" w:hAnsi="华文仿宋" w:eastAsia="华文仿宋" w:cs="华文仿宋"/>
          <w:b w:val="0"/>
          <w:bCs w:val="0"/>
          <w:sz w:val="32"/>
          <w:szCs w:val="32"/>
          <w:lang w:eastAsia="zh-CN"/>
        </w:rPr>
        <w:t>预算数</w:t>
      </w:r>
      <w:r>
        <w:rPr>
          <w:rStyle w:val="15"/>
          <w:rFonts w:hint="eastAsia" w:ascii="仿宋" w:hAnsi="仿宋" w:eastAsia="仿宋"/>
          <w:b w:val="0"/>
          <w:bCs/>
          <w:color w:val="000000"/>
          <w:sz w:val="32"/>
          <w:szCs w:val="32"/>
        </w:rPr>
        <w:t>。</w:t>
      </w:r>
    </w:p>
    <w:p>
      <w:p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7</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社会保障和就业（类）行政事业单位离退休（款）机关事业单位基本养老保险缴费支出（项）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235.97</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8</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社会保障和就业（类）行政事业单位离退休（款）机关事业单位职业年金缴费支出（项）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48.13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9</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社会保障和就业（类）企业改革补助（款）其他企业改革发展补助（项）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30.00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10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社会保障和就业（类）其他社会保障和就业支出（款）其他社会保障和就业支出（项）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2196.34</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11</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医疗卫生与计划生育（类）行政事业单位医疗（款）行政单位医疗（项）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支出决算为142.17万元，完成预算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12</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医疗卫生与计划生育（类）行政事业单位医疗（款）事业单位医疗（项）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支出决算为12.15万元，完成预算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13</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医疗卫生与计划生育（类）行政事业单位医疗（款）公务员医疗补助（项）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支出决算为26.86万元，完成预算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14</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资源勘探信息等（类）安全生产监管（款）其他安全生产监管支出（项）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支出决算为5</w:t>
      </w:r>
      <w:r>
        <w:rPr>
          <w:rStyle w:val="15"/>
          <w:rFonts w:hint="eastAsia" w:ascii="仿宋" w:hAnsi="仿宋" w:eastAsia="仿宋"/>
          <w:b w:val="0"/>
          <w:bCs/>
          <w:color w:val="000000"/>
          <w:sz w:val="32"/>
          <w:szCs w:val="32"/>
          <w:lang w:val="en-US" w:eastAsia="zh-CN"/>
        </w:rPr>
        <w:t>.00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15</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资源勘探信息等（类）国有资产监管（款）行政运行（项）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支出决算为2079.59万元，完成预算</w:t>
      </w:r>
      <w:r>
        <w:rPr>
          <w:rStyle w:val="15"/>
          <w:rFonts w:hint="eastAsia" w:ascii="仿宋" w:hAnsi="仿宋" w:eastAsia="仿宋"/>
          <w:b w:val="0"/>
          <w:bCs/>
          <w:color w:val="000000"/>
          <w:sz w:val="32"/>
          <w:szCs w:val="32"/>
          <w:lang w:val="en-US" w:eastAsia="zh-CN"/>
        </w:rPr>
        <w:t>99.88</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决算数小于预算数的主要原因是</w:t>
      </w:r>
      <w:r>
        <w:rPr>
          <w:rStyle w:val="15"/>
          <w:rFonts w:hint="eastAsia" w:ascii="华文仿宋" w:hAnsi="华文仿宋" w:eastAsia="华文仿宋" w:cs="华文仿宋"/>
          <w:b w:val="0"/>
          <w:bCs w:val="0"/>
          <w:sz w:val="32"/>
          <w:szCs w:val="32"/>
        </w:rPr>
        <w:t>人员调动，造成</w:t>
      </w:r>
      <w:r>
        <w:rPr>
          <w:rStyle w:val="15"/>
          <w:rFonts w:hint="eastAsia" w:ascii="华文仿宋" w:hAnsi="华文仿宋" w:eastAsia="华文仿宋" w:cs="华文仿宋"/>
          <w:b w:val="0"/>
          <w:bCs w:val="0"/>
          <w:sz w:val="32"/>
          <w:szCs w:val="32"/>
          <w:lang w:eastAsia="zh-CN"/>
        </w:rPr>
        <w:t>公务交通补贴、地方出台的津贴补贴实际支出</w:t>
      </w:r>
      <w:r>
        <w:rPr>
          <w:rStyle w:val="15"/>
          <w:rFonts w:hint="eastAsia" w:ascii="华文仿宋" w:hAnsi="华文仿宋" w:eastAsia="华文仿宋" w:cs="华文仿宋"/>
          <w:b w:val="0"/>
          <w:bCs w:val="0"/>
          <w:sz w:val="32"/>
          <w:szCs w:val="32"/>
        </w:rPr>
        <w:t>小于</w:t>
      </w:r>
      <w:r>
        <w:rPr>
          <w:rStyle w:val="15"/>
          <w:rFonts w:hint="eastAsia" w:ascii="华文仿宋" w:hAnsi="华文仿宋" w:eastAsia="华文仿宋" w:cs="华文仿宋"/>
          <w:b w:val="0"/>
          <w:bCs w:val="0"/>
          <w:sz w:val="32"/>
          <w:szCs w:val="32"/>
          <w:lang w:eastAsia="zh-CN"/>
        </w:rPr>
        <w:t>预算数</w:t>
      </w:r>
      <w:r>
        <w:rPr>
          <w:rStyle w:val="15"/>
          <w:rFonts w:hint="eastAsia" w:ascii="仿宋" w:hAnsi="仿宋" w:eastAsia="仿宋"/>
          <w:b w:val="0"/>
          <w:bCs/>
          <w:color w:val="000000"/>
          <w:sz w:val="32"/>
          <w:szCs w:val="32"/>
        </w:rPr>
        <w:t>。</w:t>
      </w:r>
    </w:p>
    <w:p>
      <w:pPr>
        <w:spacing w:line="600" w:lineRule="exact"/>
        <w:ind w:firstLine="640" w:firstLineChars="200"/>
        <w:rPr>
          <w:rStyle w:val="15"/>
          <w:rFonts w:hint="eastAsia" w:ascii="仿宋" w:hAnsi="仿宋" w:eastAsia="仿宋"/>
          <w:b w:val="0"/>
          <w:bCs/>
          <w:color w:val="auto"/>
          <w:sz w:val="32"/>
          <w:szCs w:val="32"/>
        </w:rPr>
      </w:pPr>
      <w:r>
        <w:rPr>
          <w:rStyle w:val="15"/>
          <w:rFonts w:hint="eastAsia" w:ascii="仿宋" w:hAnsi="仿宋" w:eastAsia="仿宋"/>
          <w:bCs/>
          <w:color w:val="000000"/>
          <w:sz w:val="32"/>
          <w:szCs w:val="32"/>
          <w:lang w:val="en-US" w:eastAsia="zh-CN"/>
        </w:rPr>
        <w:t>16</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资源勘探信息等（类）国有资产监管（款）一般行政管理事务（项）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支出决算为4119.8</w:t>
      </w:r>
      <w:r>
        <w:rPr>
          <w:rStyle w:val="15"/>
          <w:rFonts w:hint="eastAsia" w:ascii="仿宋" w:hAnsi="仿宋" w:eastAsia="仿宋"/>
          <w:b w:val="0"/>
          <w:bCs/>
          <w:color w:val="000000"/>
          <w:sz w:val="32"/>
          <w:szCs w:val="32"/>
          <w:lang w:val="en-US" w:eastAsia="zh-CN"/>
        </w:rPr>
        <w:t>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93.67</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auto"/>
          <w:sz w:val="32"/>
          <w:szCs w:val="32"/>
        </w:rPr>
        <w:t>决算数小于预算数的主要原因是</w:t>
      </w:r>
      <w:r>
        <w:rPr>
          <w:rStyle w:val="15"/>
          <w:rFonts w:hint="eastAsia" w:ascii="华文仿宋" w:hAnsi="华文仿宋" w:eastAsia="华文仿宋" w:cs="华文仿宋"/>
          <w:b w:val="0"/>
          <w:bCs w:val="0"/>
          <w:color w:val="auto"/>
          <w:sz w:val="32"/>
          <w:szCs w:val="32"/>
        </w:rPr>
        <w:t>调整预算时间较晚，部分项目只能安排次年执行</w:t>
      </w:r>
      <w:r>
        <w:rPr>
          <w:rStyle w:val="15"/>
          <w:rFonts w:hint="eastAsia" w:ascii="华文仿宋" w:hAnsi="华文仿宋" w:eastAsia="华文仿宋" w:cs="华文仿宋"/>
          <w:b w:val="0"/>
          <w:bCs w:val="0"/>
          <w:color w:val="auto"/>
          <w:sz w:val="32"/>
          <w:szCs w:val="32"/>
          <w:lang w:eastAsia="zh-CN"/>
        </w:rPr>
        <w:t>，部分项目实际支出</w:t>
      </w:r>
      <w:r>
        <w:rPr>
          <w:rStyle w:val="15"/>
          <w:rFonts w:hint="eastAsia" w:ascii="华文仿宋" w:hAnsi="华文仿宋" w:eastAsia="华文仿宋" w:cs="华文仿宋"/>
          <w:b w:val="0"/>
          <w:bCs w:val="0"/>
          <w:color w:val="auto"/>
          <w:sz w:val="32"/>
          <w:szCs w:val="32"/>
        </w:rPr>
        <w:t>小于</w:t>
      </w:r>
      <w:r>
        <w:rPr>
          <w:rStyle w:val="15"/>
          <w:rFonts w:hint="eastAsia" w:ascii="华文仿宋" w:hAnsi="华文仿宋" w:eastAsia="华文仿宋" w:cs="华文仿宋"/>
          <w:b w:val="0"/>
          <w:bCs w:val="0"/>
          <w:color w:val="auto"/>
          <w:sz w:val="32"/>
          <w:szCs w:val="32"/>
          <w:lang w:eastAsia="zh-CN"/>
        </w:rPr>
        <w:t>预算数</w:t>
      </w:r>
      <w:r>
        <w:rPr>
          <w:rStyle w:val="15"/>
          <w:rFonts w:hint="eastAsia" w:ascii="仿宋" w:hAnsi="仿宋" w:eastAsia="仿宋"/>
          <w:b w:val="0"/>
          <w:bCs/>
          <w:color w:val="auto"/>
          <w:sz w:val="32"/>
          <w:szCs w:val="32"/>
        </w:rPr>
        <w:t>。</w:t>
      </w:r>
    </w:p>
    <w:p>
      <w:p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17</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资源勘探信息等（类）国有资产监管（款）机关服务（项）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支出决算为167.49万元，完成预算</w:t>
      </w:r>
      <w:r>
        <w:rPr>
          <w:rStyle w:val="15"/>
          <w:rFonts w:hint="eastAsia" w:ascii="仿宋" w:hAnsi="仿宋" w:eastAsia="仿宋"/>
          <w:b w:val="0"/>
          <w:bCs/>
          <w:color w:val="000000"/>
          <w:sz w:val="32"/>
          <w:szCs w:val="32"/>
          <w:lang w:val="en-US" w:eastAsia="zh-CN"/>
        </w:rPr>
        <w:t>97.79</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决算数小于预算数的主要原因是</w:t>
      </w:r>
      <w:r>
        <w:rPr>
          <w:rStyle w:val="15"/>
          <w:rFonts w:hint="eastAsia" w:ascii="仿宋" w:hAnsi="仿宋" w:eastAsia="仿宋"/>
          <w:b w:val="0"/>
          <w:bCs/>
          <w:color w:val="000000"/>
          <w:sz w:val="32"/>
          <w:szCs w:val="32"/>
          <w:lang w:eastAsia="zh-CN"/>
        </w:rPr>
        <w:t>人员变动，工资福利实际支出小于预算数</w:t>
      </w:r>
      <w:r>
        <w:rPr>
          <w:rStyle w:val="15"/>
          <w:rFonts w:hint="eastAsia" w:ascii="仿宋" w:hAnsi="仿宋" w:eastAsia="仿宋"/>
          <w:b w:val="0"/>
          <w:bCs/>
          <w:color w:val="000000"/>
          <w:sz w:val="32"/>
          <w:szCs w:val="32"/>
        </w:rPr>
        <w:t>。</w:t>
      </w:r>
    </w:p>
    <w:p>
      <w:p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18</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资源勘探信息等（类）国有资产监管（款）其他国有资产监管支出（项）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28.29</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19</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住房保障（类）住房改革支出（款）住房公积金（项）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205.75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20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住房保障（类）住房改革支出（款）购房补贴（项）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388.21</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8"/>
        </w:rPr>
      </w:pPr>
      <w:bookmarkStart w:id="44" w:name="_Toc15396608"/>
      <w:bookmarkStart w:id="45"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般公共预算财政拨款基本支出决算情况说明</w:t>
      </w:r>
      <w:bookmarkEnd w:id="44"/>
      <w:bookmarkEnd w:id="45"/>
      <w:r>
        <w:rPr>
          <w:rStyle w:val="2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5590.50</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5065.93</w:t>
      </w:r>
      <w:r>
        <w:rPr>
          <w:rFonts w:hint="eastAsia" w:ascii="仿宋" w:hAnsi="仿宋" w:eastAsia="仿宋"/>
          <w:color w:val="000000"/>
          <w:sz w:val="32"/>
          <w:szCs w:val="32"/>
        </w:rPr>
        <w:t>万元，主要包括：</w:t>
      </w:r>
      <w:r>
        <w:rPr>
          <w:rFonts w:hint="eastAsia" w:ascii="仿宋" w:hAnsi="仿宋" w:eastAsia="仿宋"/>
          <w:color w:val="auto"/>
          <w:sz w:val="32"/>
          <w:szCs w:val="32"/>
        </w:rPr>
        <w:t>基本工资、津贴补贴、奖金、绩效工资、机关事业单位基本养老保险缴费、职业年金缴费、其他社会保障缴费、其他工资福利支出、奖励金、住房公积金、其他对个人和家庭的补助支出</w:t>
      </w:r>
      <w:r>
        <w:rPr>
          <w:rFonts w:hint="eastAsia" w:ascii="仿宋" w:hAnsi="仿宋" w:eastAsia="仿宋"/>
          <w:color w:val="000000"/>
          <w:sz w:val="32"/>
          <w:szCs w:val="32"/>
        </w:rPr>
        <w:t>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524.56</w:t>
      </w:r>
      <w:r>
        <w:rPr>
          <w:rFonts w:hint="eastAsia" w:ascii="仿宋" w:hAnsi="仿宋" w:eastAsia="仿宋"/>
          <w:color w:val="000000"/>
          <w:sz w:val="32"/>
          <w:szCs w:val="32"/>
        </w:rPr>
        <w:t>万元，主要包括：</w:t>
      </w:r>
      <w:r>
        <w:rPr>
          <w:rFonts w:hint="eastAsia" w:ascii="仿宋" w:hAnsi="仿宋" w:eastAsia="仿宋"/>
          <w:color w:val="auto"/>
          <w:sz w:val="32"/>
          <w:szCs w:val="32"/>
        </w:rPr>
        <w:t>办公费、印刷费、手续费、水费、电费、邮电费、差旅费、培训费、工会经费、福利费、其他交通费、其他商品和服务支出</w:t>
      </w:r>
      <w:r>
        <w:rPr>
          <w:rFonts w:hint="eastAsia" w:ascii="仿宋" w:hAnsi="仿宋" w:eastAsia="仿宋"/>
          <w:color w:val="000000"/>
          <w:sz w:val="32"/>
          <w:szCs w:val="32"/>
        </w:rPr>
        <w:t>等。</w:t>
      </w:r>
    </w:p>
    <w:p>
      <w:pPr>
        <w:spacing w:line="600" w:lineRule="exact"/>
        <w:ind w:firstLine="640"/>
        <w:rPr>
          <w:rFonts w:ascii="仿宋" w:hAnsi="仿宋" w:eastAsia="仿宋"/>
          <w:b/>
          <w:color w:val="FF0000"/>
          <w:sz w:val="32"/>
          <w:szCs w:val="32"/>
        </w:rPr>
      </w:pPr>
    </w:p>
    <w:p>
      <w:pPr>
        <w:spacing w:line="600" w:lineRule="exact"/>
        <w:ind w:firstLine="640"/>
        <w:outlineLvl w:val="1"/>
        <w:rPr>
          <w:rStyle w:val="28"/>
          <w:rFonts w:ascii="黑体" w:hAnsi="黑体" w:eastAsia="黑体"/>
          <w:b w:val="0"/>
        </w:rPr>
      </w:pPr>
      <w:bookmarkStart w:id="46" w:name="_Toc15377215"/>
      <w:bookmarkStart w:id="47" w:name="_Toc15396609"/>
      <w:r>
        <w:rPr>
          <w:rFonts w:hint="eastAsia" w:ascii="黑体" w:eastAsia="黑体"/>
          <w:color w:val="000000"/>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91.23</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90.34</w:t>
      </w:r>
      <w:r>
        <w:rPr>
          <w:rFonts w:ascii="仿宋" w:hAnsi="仿宋" w:eastAsia="仿宋"/>
          <w:color w:val="000000"/>
          <w:sz w:val="32"/>
          <w:szCs w:val="32"/>
        </w:rPr>
        <w:t>%</w:t>
      </w:r>
      <w:r>
        <w:rPr>
          <w:rFonts w:hint="eastAsia" w:ascii="仿宋" w:hAnsi="仿宋" w:eastAsia="仿宋"/>
          <w:color w:val="000000"/>
          <w:sz w:val="32"/>
          <w:szCs w:val="32"/>
        </w:rPr>
        <w:t>，决算数小于预算数的主要原因</w:t>
      </w:r>
      <w:r>
        <w:rPr>
          <w:rFonts w:hint="eastAsia" w:ascii="华文仿宋" w:hAnsi="华文仿宋" w:eastAsia="华文仿宋" w:cs="华文仿宋"/>
          <w:color w:val="000000"/>
          <w:sz w:val="32"/>
          <w:szCs w:val="32"/>
        </w:rPr>
        <w:t>公务接待支出</w:t>
      </w:r>
      <w:r>
        <w:rPr>
          <w:rFonts w:hint="eastAsia" w:ascii="华文仿宋" w:hAnsi="华文仿宋" w:eastAsia="华文仿宋" w:cs="华文仿宋"/>
          <w:color w:val="000000"/>
          <w:sz w:val="32"/>
          <w:szCs w:val="32"/>
          <w:lang w:eastAsia="zh-CN"/>
        </w:rPr>
        <w:t>较</w:t>
      </w:r>
      <w:r>
        <w:rPr>
          <w:rFonts w:hint="eastAsia" w:ascii="华文仿宋" w:hAnsi="华文仿宋" w:eastAsia="华文仿宋" w:cs="华文仿宋"/>
          <w:color w:val="000000"/>
          <w:sz w:val="32"/>
          <w:szCs w:val="32"/>
        </w:rPr>
        <w:t>少</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50.80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55.68</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39.19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42.96</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1.24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1.36</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78720" behindDoc="0" locked="0" layoutInCell="1" allowOverlap="1">
            <wp:simplePos x="0" y="0"/>
            <wp:positionH relativeFrom="column">
              <wp:posOffset>238125</wp:posOffset>
            </wp:positionH>
            <wp:positionV relativeFrom="paragraph">
              <wp:posOffset>15240</wp:posOffset>
            </wp:positionV>
            <wp:extent cx="3860800" cy="2390140"/>
            <wp:effectExtent l="5080" t="4445" r="20320" b="5715"/>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图</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：“三公”经费财政拨款支出结构</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50.80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98.09</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hint="eastAsia" w:ascii="仿宋_GB2312" w:eastAsia="仿宋_GB2312"/>
          <w:color w:val="000000"/>
          <w:sz w:val="32"/>
          <w:szCs w:val="32"/>
          <w:lang w:val="en-US" w:eastAsia="zh-CN"/>
        </w:rPr>
        <w:t>12.6</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32.98</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default" w:ascii="仿宋_GB2312" w:eastAsia="仿宋_GB2312"/>
          <w:color w:val="000000"/>
          <w:sz w:val="32"/>
          <w:szCs w:val="32"/>
        </w:rPr>
        <w:t>2018年度，为深入贯彻落实“一带一路”倡议，省委、省政府关于“走出去”重大决策部署和川港高层会晤暨川港合作会议第一次会议的有关精神，加速构建我省“四向拓展，全域开放”立体全面开放格局，我委主要负责人陪同邓小刚副书记前往瑞典、芬兰、捷克执行经贸促进活动，推动我省国有企业与欧洲发达国家企业、政府开展经贸合作，申请追加经费10.31万元。2018年11月和12月，先后两次前往香港参加“川港澳合作周”系列活动，成功签署了9</w:t>
      </w:r>
      <w:r>
        <w:rPr>
          <w:rFonts w:hint="default" w:ascii="仿宋_GB2312" w:eastAsia="仿宋_GB2312"/>
          <w:color w:val="000000"/>
          <w:sz w:val="32"/>
          <w:szCs w:val="32"/>
          <w:lang w:eastAsia="zh-CN"/>
        </w:rPr>
        <w:t>项</w:t>
      </w:r>
      <w:r>
        <w:rPr>
          <w:rFonts w:hint="default" w:ascii="仿宋_GB2312" w:eastAsia="仿宋_GB2312"/>
          <w:color w:val="000000"/>
          <w:sz w:val="32"/>
          <w:szCs w:val="32"/>
        </w:rPr>
        <w:t>合作协议，推动我省国有企业在香港H股成功上市，并在香港组建了中国企业协会四川分会。同时，为了加强境外国有资产监管，我委配合省纪委前往肯尼亚、赞比亚、厄立特里亚对我省国有企业进行检查，逐步探索建立四川省国有企业海外巡查机制，追加出访经费8.</w:t>
      </w:r>
      <w:r>
        <w:rPr>
          <w:rFonts w:hint="default" w:ascii="仿宋_GB2312" w:eastAsia="仿宋_GB2312"/>
          <w:color w:val="000000"/>
          <w:sz w:val="32"/>
          <w:szCs w:val="32"/>
          <w:lang w:val="en-US" w:eastAsia="zh-CN"/>
        </w:rPr>
        <w:t>09</w:t>
      </w:r>
      <w:r>
        <w:rPr>
          <w:rFonts w:hint="default" w:ascii="仿宋_GB2312" w:eastAsia="仿宋_GB2312"/>
          <w:color w:val="000000"/>
          <w:sz w:val="32"/>
          <w:szCs w:val="32"/>
        </w:rPr>
        <w:t>万元。2018年末，经国家外专局批准，我委组织国有企业主要负责人赴美参加“开展国际化经营的模式创新和风险防控”培训班，进一步提高企业领导人员专业能力水平，追加经费5.39万元。2018年度，我委共计追加出访经费23.</w:t>
      </w:r>
      <w:r>
        <w:rPr>
          <w:rFonts w:hint="default" w:ascii="仿宋_GB2312" w:eastAsia="仿宋_GB2312"/>
          <w:color w:val="000000"/>
          <w:sz w:val="32"/>
          <w:szCs w:val="32"/>
          <w:lang w:val="en-US" w:eastAsia="zh-CN"/>
        </w:rPr>
        <w:t>7</w:t>
      </w:r>
      <w:r>
        <w:rPr>
          <w:rFonts w:hint="default" w:ascii="仿宋_GB2312" w:eastAsia="仿宋_GB2312"/>
          <w:color w:val="000000"/>
          <w:sz w:val="32"/>
          <w:szCs w:val="32"/>
        </w:rPr>
        <w:t>9万元，本着厉行节约的原则，执行了多次因公出访任务，出访取得了实效，达到了预期效果。</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）省国资委赴港澳招才引智团组参加省委组织部高端服务中心赴港澳招才引智活动，协助指导省属国有企业引进港澳地区高层次人才来川创新创业。（</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四川省人大友好交流团出访毛里求斯、阿联酋、摩洛哥，进一步加强我省与亚非地区有关国家的友好关系，深入挖掘经贸、投资、文化、交通、旅游、信息等多个领域的合作潜力，增进到访国家侨界对我省经济社会发展现状的了解，拓展涵养侨务资源，推动与到访国家立法机构的交流与合作，提升参政议政能力水平。（</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lang w:eastAsia="zh-CN"/>
        </w:rPr>
        <w:t>）赴日本经贸促进团出访日本，进一步加强我省我省与日本的友好关系，深入挖掘经贸、投资、文化、交通、旅游、友城、民间组织等多个领域的合作潜力，拓宽我省对外交往渠道。（</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lang w:eastAsia="zh-CN"/>
        </w:rPr>
        <w:t>）四川省人民政府</w:t>
      </w:r>
      <w:r>
        <w:rPr>
          <w:rFonts w:hint="eastAsia" w:ascii="仿宋_GB2312" w:eastAsia="仿宋_GB2312"/>
          <w:color w:val="000000"/>
          <w:sz w:val="32"/>
          <w:szCs w:val="32"/>
          <w:lang w:val="en-US" w:eastAsia="zh-CN"/>
        </w:rPr>
        <w:t>交流访问团赴尼泊尔、印度、泰国执行交流访问任务，推动四川与三国在友城、科技、经贸等领域的合作，进一步推动企业走出去，推进我省与三国的重点项目合作。（5）四川省政府代表团赴澳门调研中联办、社会文化司，参加香港“一带一路”高峰论坛系列活动。（6）四川省发展改革委“四川企业境外融资业务专题培训”团组赴香港学习，通过此次培训，将积极推进有条件的企业到境外发行债券，充分利用国际资本市场低成本资金，有利于拓宽企业融资渠道，支持省内实体经济发展，提升四川对外开放形象。（7）赴捷克、瑞典、芬兰代表团拜访三国地方政府和相关机构，结合旅游和经贸推介会，举办省情图片展，加强三国及友好省区在经贸、科创、教育、旅游等领域的交往合作，会见侨商侨领代表，推动更多企业和人才到四川发展。（8）四川省国资委赴港澳经贸工作团出访香港、澳门，促进我省国有企业与香港有关方面的项目合作，开展相关项目的对接促进工作，参加“川港澳合作周”系列活动。（9）赴肯尼亚、赞比亚、厄立特里亚巡查团调研两家省属企业在非洲业务发展现状，了解当地经济社会发展状况及投资环境，检查境外项目的投资管理、风险管控、国企在外人员遵守外事纪律情况、党风廉政建设情况，从而保障国有企业境外资产安全，助推省属企业在非洲基建项目及经营业务规范安全开展。（10）国际化经营的模式创新和风险防控培训班赴美国学习，加强全省企业家及后备队伍建设，赴美国哈佛大学系统学习美国先进的创新理念、企业管理、风险防控、制度建设等方面的做法。（11）赴香港经贸促进团加强我省与香港的友好关系，深入挖掘经贸、投资、文化、交通、旅游等多个领域的合作潜力，拓宽我省对外交往渠道。</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39.19</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99.97</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3.14</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7.42</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2017年发生车辆大修资金4万元。</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39.19</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一是</w:t>
      </w:r>
      <w:r>
        <w:rPr>
          <w:rFonts w:hint="eastAsia" w:ascii="华文仿宋" w:hAnsi="华文仿宋" w:eastAsia="华文仿宋" w:cs="华文仿宋"/>
          <w:kern w:val="0"/>
          <w:sz w:val="32"/>
          <w:szCs w:val="32"/>
          <w:lang w:bidi="ar"/>
        </w:rPr>
        <w:t>保障我委赴省属国有企业调研，指导国资国企改革，监督省属国有企业环保、安全生产等工作</w:t>
      </w:r>
      <w:r>
        <w:rPr>
          <w:rFonts w:hint="eastAsia" w:ascii="华文仿宋" w:hAnsi="华文仿宋" w:eastAsia="华文仿宋" w:cs="华文仿宋"/>
          <w:kern w:val="0"/>
          <w:sz w:val="32"/>
          <w:szCs w:val="32"/>
          <w:lang w:eastAsia="zh-CN" w:bidi="ar"/>
        </w:rPr>
        <w:t>；</w:t>
      </w:r>
      <w:r>
        <w:rPr>
          <w:rFonts w:hint="eastAsia" w:ascii="华文仿宋" w:hAnsi="华文仿宋" w:eastAsia="华文仿宋" w:cs="华文仿宋"/>
          <w:kern w:val="0"/>
          <w:sz w:val="32"/>
          <w:szCs w:val="32"/>
          <w:lang w:bidi="ar"/>
        </w:rPr>
        <w:t>二是保障离退休干部，机要通信</w:t>
      </w:r>
      <w:r>
        <w:rPr>
          <w:rFonts w:hint="eastAsia" w:ascii="华文仿宋" w:hAnsi="华文仿宋" w:eastAsia="华文仿宋" w:cs="华文仿宋"/>
          <w:kern w:val="0"/>
          <w:sz w:val="32"/>
          <w:szCs w:val="32"/>
          <w:lang w:eastAsia="zh-CN" w:bidi="ar"/>
        </w:rPr>
        <w:t>；</w:t>
      </w:r>
      <w:r>
        <w:rPr>
          <w:rFonts w:hint="eastAsia" w:ascii="华文仿宋" w:hAnsi="华文仿宋" w:eastAsia="华文仿宋" w:cs="华文仿宋"/>
          <w:kern w:val="0"/>
          <w:sz w:val="32"/>
          <w:szCs w:val="32"/>
          <w:lang w:bidi="ar"/>
        </w:rPr>
        <w:t>三是保障委领导赴各市州检查指导省属国有企业定点扶贫工作</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1.24</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12.42</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1.58</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56.03</w:t>
      </w:r>
      <w:r>
        <w:rPr>
          <w:rFonts w:ascii="仿宋_GB2312" w:eastAsia="仿宋_GB2312"/>
          <w:color w:val="000000"/>
          <w:sz w:val="32"/>
          <w:szCs w:val="32"/>
        </w:rPr>
        <w:t>%</w:t>
      </w:r>
      <w:r>
        <w:rPr>
          <w:rFonts w:hint="eastAsia" w:ascii="仿宋_GB2312" w:eastAsia="仿宋_GB2312"/>
          <w:color w:val="000000"/>
          <w:sz w:val="32"/>
          <w:szCs w:val="32"/>
        </w:rPr>
        <w:t>。主要原因是2018年严格执行中央八项规定和省委省政府十项规定，厉行节约，严控接待标准；省内外部分国资国企合作单位来我委调研考察食宿费用自理；2018年未接待省部级领导。</w:t>
      </w:r>
      <w:r>
        <w:rPr>
          <w:rFonts w:hint="eastAsia" w:ascii="仿宋_GB2312" w:eastAsia="仿宋_GB2312"/>
          <w:color w:val="000000"/>
          <w:sz w:val="32"/>
          <w:szCs w:val="32"/>
          <w:lang w:eastAsia="zh-CN"/>
        </w:rPr>
        <w:t>其中：</w:t>
      </w:r>
    </w:p>
    <w:p>
      <w:pPr>
        <w:spacing w:line="600" w:lineRule="exact"/>
        <w:ind w:firstLine="640" w:firstLineChars="20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1.24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主要用于执行公务、开展业务活动开支的用餐费。国内公务接待</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83</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1.24</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）召开国企改革“双百行动”工作座谈会，用餐费支出</w:t>
      </w:r>
      <w:r>
        <w:rPr>
          <w:rFonts w:hint="eastAsia" w:ascii="仿宋_GB2312" w:eastAsia="仿宋_GB2312"/>
          <w:color w:val="000000"/>
          <w:sz w:val="32"/>
          <w:szCs w:val="32"/>
          <w:lang w:val="en-US" w:eastAsia="zh-CN"/>
        </w:rPr>
        <w:t>0.12万元。（2）四川省属国资国企高质量发展课题研究单位比选会，用餐费支出0.11万元。（3）湖南省国资委赴我委调研考察大数据监管平台，用餐费支出0.09万元。（4）上海市国资委赴我委学习考察，用餐费支出0.06万元。（5）山东省国资委赴我委开展调研学习，用餐费支出0.09万元。（6）内江市国资委赴我委相关处（室）拜访，用餐费支出0.06万元。（7）国务院国资委、财政部、内蒙古自治区、安徽省、江西省、广西自治区、重庆市国资委来川参加部分省（区、市）剥离国有企业办社会职能和解决历史遗留问题工作座谈会，用餐费支出0.33万元。（8）湖南省国资委赴我委调研学习，用餐费支出0.13万元。（9）山西省国资委赴我委开展国企国资改革调研学习，用餐费支出0.18万元。（10）广东省国资委赴我委学习调研，用餐费支出0.07万元。</w:t>
      </w:r>
      <w:r>
        <w:rPr>
          <w:rFonts w:hint="eastAsia" w:ascii="仿宋_GB2312" w:eastAsia="仿宋_GB2312"/>
          <w:color w:val="000000"/>
          <w:sz w:val="32"/>
          <w:szCs w:val="32"/>
        </w:rPr>
        <w:t>其中：外事接待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 w:hAnsi="仿宋" w:eastAsia="仿宋"/>
          <w:b/>
          <w:color w:val="000000"/>
          <w:sz w:val="32"/>
          <w:szCs w:val="32"/>
          <w:highlight w:val="none"/>
        </w:rPr>
        <w:t>外事接待支出</w:t>
      </w:r>
      <w:r>
        <w:rPr>
          <w:rFonts w:hint="eastAsia" w:ascii="仿宋" w:hAnsi="仿宋" w:eastAsia="仿宋"/>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themeColor="text1"/>
          <w:sz w:val="32"/>
          <w:szCs w:val="32"/>
          <w:highlight w:val="none"/>
          <w14:textFill>
            <w14:solidFill>
              <w14:schemeClr w14:val="tx1"/>
            </w14:solidFill>
          </w14:textFill>
        </w:rPr>
        <w:t>，外事接待</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批次，</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人，共计支出</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万元</w:t>
      </w:r>
      <w:r>
        <w:rPr>
          <w:rFonts w:hint="eastAsia" w:ascii="仿宋_GB2312" w:eastAsia="仿宋_GB2312"/>
          <w:color w:val="000000" w:themeColor="text1"/>
          <w:sz w:val="32"/>
          <w:szCs w:val="32"/>
          <w:highlight w:val="none"/>
          <w:lang w:eastAsia="zh-CN"/>
          <w14:textFill>
            <w14:solidFill>
              <w14:schemeClr w14:val="tx1"/>
            </w14:solidFill>
          </w14:textFill>
        </w:rPr>
        <w:t>。</w:t>
      </w:r>
    </w:p>
    <w:p>
      <w:pPr>
        <w:spacing w:line="600" w:lineRule="exact"/>
        <w:ind w:firstLine="640"/>
        <w:rPr>
          <w:rFonts w:ascii="仿宋_GB2312" w:eastAsia="仿宋_GB2312"/>
          <w:b/>
          <w:color w:val="000000"/>
          <w:sz w:val="32"/>
          <w:szCs w:val="32"/>
        </w:rPr>
      </w:pPr>
    </w:p>
    <w:p>
      <w:pPr>
        <w:spacing w:line="600" w:lineRule="exact"/>
        <w:ind w:firstLine="640"/>
        <w:outlineLvl w:val="1"/>
        <w:rPr>
          <w:rStyle w:val="28"/>
          <w:rFonts w:ascii="黑体" w:hAnsi="黑体" w:eastAsia="黑体"/>
        </w:rPr>
      </w:pPr>
      <w:bookmarkStart w:id="50" w:name="_Toc15377218"/>
      <w:bookmarkStart w:id="51" w:name="_Toc15396610"/>
      <w:r>
        <w:rPr>
          <w:rFonts w:hint="eastAsia" w:ascii="黑体" w:eastAsia="黑体"/>
          <w:color w:val="000000"/>
          <w:sz w:val="32"/>
          <w:szCs w:val="32"/>
        </w:rPr>
        <w:t>八、</w:t>
      </w:r>
      <w:r>
        <w:rPr>
          <w:rStyle w:val="28"/>
          <w:rFonts w:hint="eastAsia" w:ascii="黑体" w:hAnsi="黑体" w:eastAsia="黑体"/>
          <w:b w:val="0"/>
        </w:rPr>
        <w:t>政府性基金预算支出决算情况说明</w:t>
      </w:r>
      <w:bookmarkEnd w:id="50"/>
      <w:bookmarkEnd w:id="5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4"/>
        </w:numPr>
        <w:spacing w:line="600" w:lineRule="exact"/>
        <w:ind w:firstLine="640"/>
        <w:outlineLvl w:val="1"/>
        <w:rPr>
          <w:rStyle w:val="28"/>
          <w:rFonts w:ascii="黑体" w:hAnsi="黑体" w:eastAsia="黑体"/>
          <w:b w:val="0"/>
        </w:rPr>
      </w:pPr>
      <w:bookmarkStart w:id="52" w:name="_Toc15396611"/>
      <w:bookmarkStart w:id="53" w:name="_Toc15377219"/>
      <w:r>
        <w:rPr>
          <w:rStyle w:val="28"/>
          <w:rFonts w:hint="eastAsia" w:ascii="黑体" w:hAnsi="黑体" w:eastAsia="黑体"/>
          <w:b w:val="0"/>
        </w:rPr>
        <w:t>国有资本经营预算支出决算情况说明</w:t>
      </w:r>
      <w:bookmarkEnd w:id="52"/>
      <w:bookmarkEnd w:id="5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6"/>
        <w:numPr>
          <w:ilvl w:val="0"/>
          <w:numId w:val="5"/>
        </w:numPr>
        <w:spacing w:line="580" w:lineRule="exact"/>
        <w:ind w:firstLineChars="0"/>
        <w:rPr>
          <w:rStyle w:val="28"/>
          <w:rFonts w:ascii="黑体" w:hAnsi="黑体" w:eastAsia="黑体"/>
          <w:b w:val="0"/>
        </w:rPr>
      </w:pPr>
      <w:r>
        <w:rPr>
          <w:rStyle w:val="28"/>
          <w:rFonts w:hint="eastAsia" w:ascii="黑体" w:hAnsi="黑体" w:eastAsia="黑体"/>
          <w:b w:val="0"/>
        </w:rPr>
        <w:t>预算绩效情况说明</w:t>
      </w:r>
    </w:p>
    <w:p>
      <w:pPr>
        <w:numPr>
          <w:ilvl w:val="0"/>
          <w:numId w:val="6"/>
        </w:numPr>
        <w:spacing w:line="580" w:lineRule="exact"/>
        <w:ind w:firstLine="640"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根据预算绩效管理要求，本部门在年初预算编制阶段，组织对省属企业年度财务审计项目开展了预算事前绩效评估，对</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本部门按要求对2018年部门整体支出开展绩效自评，从评价情况来看预算编制不</w:t>
      </w:r>
      <w:r>
        <w:rPr>
          <w:rFonts w:hint="eastAsia" w:ascii="仿宋_GB2312" w:hAnsi="仿宋_GB2312" w:eastAsia="仿宋_GB2312" w:cs="仿宋_GB2312"/>
          <w:sz w:val="32"/>
          <w:szCs w:val="32"/>
          <w:lang w:eastAsia="zh-CN"/>
        </w:rPr>
        <w:t>够</w:t>
      </w:r>
      <w:r>
        <w:rPr>
          <w:rFonts w:hint="eastAsia" w:ascii="仿宋_GB2312" w:hAnsi="仿宋_GB2312" w:eastAsia="仿宋_GB2312" w:cs="仿宋_GB2312"/>
          <w:sz w:val="32"/>
          <w:szCs w:val="32"/>
        </w:rPr>
        <w:t>精准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资金使用效益有待进一步提高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绩效目标编制不够完整、指标不够细化量化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制度建设和规范化管理有待加强。</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本部门在2018年度部门决算中反映“省属企业年度财务审计</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送温暖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“困难职工帮扶”</w:t>
      </w:r>
      <w:r>
        <w:rPr>
          <w:rFonts w:hint="eastAsia" w:ascii="仿宋_GB2312" w:hAnsi="仿宋_GB2312" w:eastAsia="仿宋_GB2312" w:cs="仿宋_GB2312"/>
          <w:sz w:val="32"/>
          <w:szCs w:val="32"/>
          <w:lang w:eastAsia="zh-CN"/>
        </w:rPr>
        <w:t>“经济责任审计”“纪委办案”</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w:t>
      </w:r>
    </w:p>
    <w:p>
      <w:pPr>
        <w:numPr>
          <w:ilvl w:val="0"/>
          <w:numId w:val="7"/>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省属企业年度财务审计项目绩效目标完成情况综述。项目全年预算数</w:t>
      </w:r>
      <w:r>
        <w:rPr>
          <w:rFonts w:hint="eastAsia" w:ascii="仿宋_GB2312" w:hAnsi="仿宋_GB2312" w:eastAsia="仿宋_GB2312" w:cs="仿宋_GB2312"/>
          <w:sz w:val="32"/>
          <w:szCs w:val="32"/>
          <w:lang w:val="en-US" w:eastAsia="zh-CN"/>
        </w:rPr>
        <w:t>1500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1390.50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92.70</w:t>
      </w:r>
      <w:r>
        <w:rPr>
          <w:rFonts w:hint="eastAsia" w:ascii="仿宋_GB2312" w:hAnsi="仿宋_GB2312" w:eastAsia="仿宋_GB2312" w:cs="仿宋_GB2312"/>
          <w:sz w:val="32"/>
          <w:szCs w:val="32"/>
        </w:rPr>
        <w:t>%。通过项目实施，保障了</w:t>
      </w:r>
      <w:r>
        <w:rPr>
          <w:rFonts w:hint="eastAsia" w:ascii="仿宋_GB2312" w:hAnsi="仿宋_GB2312" w:eastAsia="仿宋_GB2312" w:cs="仿宋_GB2312"/>
          <w:sz w:val="32"/>
          <w:szCs w:val="32"/>
          <w:lang w:eastAsia="zh-CN"/>
        </w:rPr>
        <w:t>省属监管企业资产保值增值，促进了监督管理工作</w:t>
      </w:r>
      <w:r>
        <w:rPr>
          <w:rFonts w:hint="eastAsia" w:ascii="仿宋_GB2312" w:hAnsi="仿宋_GB2312" w:eastAsia="仿宋_GB2312" w:cs="仿宋_GB2312"/>
          <w:sz w:val="32"/>
          <w:szCs w:val="32"/>
        </w:rPr>
        <w:t>，发现的主要问题：</w:t>
      </w:r>
      <w:r>
        <w:rPr>
          <w:rFonts w:hint="eastAsia" w:ascii="Times New Roman" w:hAnsi="Times New Roman" w:eastAsia="仿宋_GB2312" w:cs="Times New Roman"/>
          <w:color w:val="000000"/>
          <w:sz w:val="32"/>
          <w:szCs w:val="32"/>
        </w:rPr>
        <w:t>绩效目标</w:t>
      </w:r>
      <w:r>
        <w:rPr>
          <w:rFonts w:hint="eastAsia" w:ascii="Times New Roman" w:hAnsi="Times New Roman" w:eastAsia="仿宋_GB2312" w:cs="Times New Roman"/>
          <w:color w:val="000000"/>
          <w:sz w:val="32"/>
          <w:szCs w:val="32"/>
          <w:lang w:eastAsia="zh-CN"/>
        </w:rPr>
        <w:t>编制</w:t>
      </w:r>
      <w:r>
        <w:rPr>
          <w:rFonts w:hint="eastAsia" w:ascii="Times New Roman" w:hAnsi="Times New Roman" w:eastAsia="仿宋_GB2312" w:cs="Times New Roman"/>
          <w:color w:val="000000"/>
          <w:sz w:val="32"/>
          <w:szCs w:val="32"/>
        </w:rPr>
        <w:t>不够</w:t>
      </w:r>
      <w:r>
        <w:rPr>
          <w:rFonts w:hint="eastAsia" w:ascii="Times New Roman" w:hAnsi="Times New Roman" w:eastAsia="仿宋_GB2312" w:cs="Times New Roman"/>
          <w:color w:val="000000"/>
          <w:sz w:val="32"/>
          <w:szCs w:val="32"/>
          <w:lang w:eastAsia="zh-CN"/>
        </w:rPr>
        <w:t>完整</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指标不够</w:t>
      </w:r>
      <w:r>
        <w:rPr>
          <w:rFonts w:hint="eastAsia" w:ascii="Times New Roman" w:hAnsi="Times New Roman" w:eastAsia="仿宋_GB2312" w:cs="Times New Roman"/>
          <w:color w:val="000000"/>
          <w:sz w:val="32"/>
          <w:szCs w:val="32"/>
        </w:rPr>
        <w:t>细化量化</w:t>
      </w:r>
      <w:r>
        <w:rPr>
          <w:rFonts w:hint="eastAsia" w:ascii="仿宋_GB2312" w:hAnsi="仿宋_GB2312" w:eastAsia="仿宋_GB2312" w:cs="仿宋_GB2312"/>
          <w:sz w:val="32"/>
          <w:szCs w:val="32"/>
        </w:rPr>
        <w:t>。下一步改进措施：</w:t>
      </w:r>
      <w:r>
        <w:rPr>
          <w:rFonts w:hint="eastAsia" w:ascii="Times New Roman" w:hAnsi="Times New Roman" w:eastAsia="仿宋_GB2312" w:cs="Times New Roman"/>
          <w:color w:val="000000"/>
          <w:sz w:val="32"/>
          <w:szCs w:val="32"/>
          <w:lang w:eastAsia="zh-CN"/>
        </w:rPr>
        <w:t>完整编制</w:t>
      </w:r>
      <w:r>
        <w:rPr>
          <w:rFonts w:hint="eastAsia" w:ascii="Times New Roman" w:hAnsi="Times New Roman" w:eastAsia="仿宋_GB2312" w:cs="Times New Roman"/>
          <w:color w:val="000000"/>
          <w:sz w:val="32"/>
          <w:szCs w:val="32"/>
        </w:rPr>
        <w:t>绩效目标</w:t>
      </w:r>
      <w:r>
        <w:rPr>
          <w:rFonts w:hint="eastAsia" w:ascii="Times New Roman" w:hAnsi="Times New Roman" w:eastAsia="仿宋_GB2312" w:cs="Times New Roman"/>
          <w:color w:val="000000"/>
          <w:sz w:val="32"/>
          <w:szCs w:val="32"/>
          <w:lang w:eastAsia="zh-CN"/>
        </w:rPr>
        <w:t>、细化量化指标。</w:t>
      </w:r>
    </w:p>
    <w:p>
      <w:pPr>
        <w:numPr>
          <w:ilvl w:val="0"/>
          <w:numId w:val="7"/>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送温暖项目绩效目标完成情况综述。项目全年预算数</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确保了对省属监管企业极其困难职工走访慰问送上温暖，促进</w:t>
      </w:r>
      <w:r>
        <w:rPr>
          <w:rFonts w:hint="eastAsia" w:ascii="仿宋_GB2312" w:hAnsi="仿宋_GB2312" w:eastAsia="仿宋_GB2312" w:cs="仿宋_GB2312"/>
          <w:sz w:val="32"/>
          <w:szCs w:val="32"/>
        </w:rPr>
        <w:t>了扶贫工作，发现的主要问题：</w:t>
      </w:r>
      <w:r>
        <w:rPr>
          <w:rFonts w:hint="eastAsia" w:ascii="Times New Roman" w:hAnsi="Times New Roman" w:eastAsia="仿宋_GB2312" w:cs="Times New Roman"/>
          <w:color w:val="000000"/>
          <w:sz w:val="32"/>
          <w:szCs w:val="32"/>
        </w:rPr>
        <w:t>绩效目标</w:t>
      </w:r>
      <w:r>
        <w:rPr>
          <w:rFonts w:hint="eastAsia" w:ascii="Times New Roman" w:hAnsi="Times New Roman" w:eastAsia="仿宋_GB2312" w:cs="Times New Roman"/>
          <w:color w:val="000000"/>
          <w:sz w:val="32"/>
          <w:szCs w:val="32"/>
          <w:lang w:eastAsia="zh-CN"/>
        </w:rPr>
        <w:t>编制</w:t>
      </w:r>
      <w:r>
        <w:rPr>
          <w:rFonts w:hint="eastAsia" w:ascii="Times New Roman" w:hAnsi="Times New Roman" w:eastAsia="仿宋_GB2312" w:cs="Times New Roman"/>
          <w:color w:val="000000"/>
          <w:sz w:val="32"/>
          <w:szCs w:val="32"/>
        </w:rPr>
        <w:t>不够</w:t>
      </w:r>
      <w:r>
        <w:rPr>
          <w:rFonts w:hint="eastAsia" w:ascii="Times New Roman" w:hAnsi="Times New Roman" w:eastAsia="仿宋_GB2312" w:cs="Times New Roman"/>
          <w:color w:val="000000"/>
          <w:sz w:val="32"/>
          <w:szCs w:val="32"/>
          <w:lang w:eastAsia="zh-CN"/>
        </w:rPr>
        <w:t>完整</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指标不够</w:t>
      </w:r>
      <w:r>
        <w:rPr>
          <w:rFonts w:hint="eastAsia" w:ascii="Times New Roman" w:hAnsi="Times New Roman" w:eastAsia="仿宋_GB2312" w:cs="Times New Roman"/>
          <w:color w:val="000000"/>
          <w:sz w:val="32"/>
          <w:szCs w:val="32"/>
        </w:rPr>
        <w:t>细化量化</w:t>
      </w:r>
      <w:r>
        <w:rPr>
          <w:rFonts w:hint="eastAsia" w:ascii="仿宋_GB2312" w:hAnsi="仿宋_GB2312" w:eastAsia="仿宋_GB2312" w:cs="仿宋_GB2312"/>
          <w:sz w:val="32"/>
          <w:szCs w:val="32"/>
        </w:rPr>
        <w:t>。下一步改进措施：</w:t>
      </w:r>
      <w:r>
        <w:rPr>
          <w:rFonts w:hint="eastAsia" w:ascii="Times New Roman" w:hAnsi="Times New Roman" w:eastAsia="仿宋_GB2312" w:cs="Times New Roman"/>
          <w:color w:val="000000"/>
          <w:sz w:val="32"/>
          <w:szCs w:val="32"/>
          <w:lang w:eastAsia="zh-CN"/>
        </w:rPr>
        <w:t>完整编制</w:t>
      </w:r>
      <w:r>
        <w:rPr>
          <w:rFonts w:hint="eastAsia" w:ascii="Times New Roman" w:hAnsi="Times New Roman" w:eastAsia="仿宋_GB2312" w:cs="Times New Roman"/>
          <w:color w:val="000000"/>
          <w:sz w:val="32"/>
          <w:szCs w:val="32"/>
        </w:rPr>
        <w:t>绩效目标</w:t>
      </w:r>
      <w:r>
        <w:rPr>
          <w:rFonts w:hint="eastAsia" w:ascii="Times New Roman" w:hAnsi="Times New Roman" w:eastAsia="仿宋_GB2312" w:cs="Times New Roman"/>
          <w:color w:val="000000"/>
          <w:sz w:val="32"/>
          <w:szCs w:val="32"/>
          <w:lang w:eastAsia="zh-CN"/>
        </w:rPr>
        <w:t>、细化量化指标。</w:t>
      </w:r>
    </w:p>
    <w:p>
      <w:pPr>
        <w:numPr>
          <w:ilvl w:val="0"/>
          <w:numId w:val="7"/>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困难职工帮扶项目绩效目标完成情况综述。项目全年预算数</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%。通过项目实施，保障了</w:t>
      </w:r>
      <w:r>
        <w:rPr>
          <w:rFonts w:hint="eastAsia" w:ascii="仿宋_GB2312" w:hAnsi="仿宋_GB2312" w:eastAsia="仿宋_GB2312" w:cs="仿宋_GB2312"/>
          <w:sz w:val="32"/>
          <w:szCs w:val="32"/>
          <w:lang w:eastAsia="zh-CN"/>
        </w:rPr>
        <w:t>对省属监管企业困难职工的救助，缓解了企业资金压力</w:t>
      </w:r>
      <w:r>
        <w:rPr>
          <w:rFonts w:hint="eastAsia" w:ascii="仿宋_GB2312" w:hAnsi="仿宋_GB2312" w:eastAsia="仿宋_GB2312" w:cs="仿宋_GB2312"/>
          <w:sz w:val="32"/>
          <w:szCs w:val="32"/>
        </w:rPr>
        <w:t>，发现的主要问题：</w:t>
      </w:r>
      <w:r>
        <w:rPr>
          <w:rFonts w:hint="eastAsia" w:ascii="Times New Roman" w:hAnsi="Times New Roman" w:eastAsia="仿宋_GB2312" w:cs="Times New Roman"/>
          <w:color w:val="000000"/>
          <w:sz w:val="32"/>
          <w:szCs w:val="32"/>
        </w:rPr>
        <w:t>绩效目标</w:t>
      </w:r>
      <w:r>
        <w:rPr>
          <w:rFonts w:hint="eastAsia" w:ascii="Times New Roman" w:hAnsi="Times New Roman" w:eastAsia="仿宋_GB2312" w:cs="Times New Roman"/>
          <w:color w:val="000000"/>
          <w:sz w:val="32"/>
          <w:szCs w:val="32"/>
          <w:lang w:eastAsia="zh-CN"/>
        </w:rPr>
        <w:t>编制</w:t>
      </w:r>
      <w:r>
        <w:rPr>
          <w:rFonts w:hint="eastAsia" w:ascii="Times New Roman" w:hAnsi="Times New Roman" w:eastAsia="仿宋_GB2312" w:cs="Times New Roman"/>
          <w:color w:val="000000"/>
          <w:sz w:val="32"/>
          <w:szCs w:val="32"/>
        </w:rPr>
        <w:t>不够</w:t>
      </w:r>
      <w:r>
        <w:rPr>
          <w:rFonts w:hint="eastAsia" w:ascii="Times New Roman" w:hAnsi="Times New Roman" w:eastAsia="仿宋_GB2312" w:cs="Times New Roman"/>
          <w:color w:val="000000"/>
          <w:sz w:val="32"/>
          <w:szCs w:val="32"/>
          <w:lang w:eastAsia="zh-CN"/>
        </w:rPr>
        <w:t>完整</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指标不够</w:t>
      </w:r>
      <w:r>
        <w:rPr>
          <w:rFonts w:hint="eastAsia" w:ascii="Times New Roman" w:hAnsi="Times New Roman" w:eastAsia="仿宋_GB2312" w:cs="Times New Roman"/>
          <w:color w:val="000000"/>
          <w:sz w:val="32"/>
          <w:szCs w:val="32"/>
        </w:rPr>
        <w:t>细化量化</w:t>
      </w:r>
      <w:r>
        <w:rPr>
          <w:rFonts w:hint="eastAsia" w:ascii="仿宋_GB2312" w:hAnsi="仿宋_GB2312" w:eastAsia="仿宋_GB2312" w:cs="仿宋_GB2312"/>
          <w:sz w:val="32"/>
          <w:szCs w:val="32"/>
        </w:rPr>
        <w:t>。下一步改进措施：</w:t>
      </w:r>
      <w:r>
        <w:rPr>
          <w:rFonts w:hint="eastAsia" w:ascii="Times New Roman" w:hAnsi="Times New Roman" w:eastAsia="仿宋_GB2312" w:cs="Times New Roman"/>
          <w:color w:val="000000"/>
          <w:sz w:val="32"/>
          <w:szCs w:val="32"/>
          <w:lang w:eastAsia="zh-CN"/>
        </w:rPr>
        <w:t>完整编制</w:t>
      </w:r>
      <w:r>
        <w:rPr>
          <w:rFonts w:hint="eastAsia" w:ascii="Times New Roman" w:hAnsi="Times New Roman" w:eastAsia="仿宋_GB2312" w:cs="Times New Roman"/>
          <w:color w:val="000000"/>
          <w:sz w:val="32"/>
          <w:szCs w:val="32"/>
        </w:rPr>
        <w:t>绩效目标</w:t>
      </w:r>
      <w:r>
        <w:rPr>
          <w:rFonts w:hint="eastAsia" w:ascii="Times New Roman" w:hAnsi="Times New Roman" w:eastAsia="仿宋_GB2312" w:cs="Times New Roman"/>
          <w:color w:val="000000"/>
          <w:sz w:val="32"/>
          <w:szCs w:val="32"/>
          <w:lang w:eastAsia="zh-CN"/>
        </w:rPr>
        <w:t>、细化量化指标。</w:t>
      </w:r>
    </w:p>
    <w:p>
      <w:pPr>
        <w:numPr>
          <w:ilvl w:val="0"/>
          <w:numId w:val="7"/>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经济责任审计</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126.50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72.50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57.31</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促进了省属监管企业领导人员依法履职、廉洁从业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确保了企业稳定健康发展，促进了经济责任审计工作，</w:t>
      </w:r>
      <w:r>
        <w:rPr>
          <w:rFonts w:hint="eastAsia" w:ascii="仿宋_GB2312" w:hAnsi="仿宋_GB2312" w:eastAsia="仿宋_GB2312" w:cs="仿宋_GB2312"/>
          <w:sz w:val="32"/>
          <w:szCs w:val="32"/>
        </w:rPr>
        <w:t>发现的主要问题：预算编制不</w:t>
      </w:r>
      <w:r>
        <w:rPr>
          <w:rFonts w:hint="eastAsia" w:ascii="仿宋_GB2312" w:hAnsi="仿宋_GB2312" w:eastAsia="仿宋_GB2312" w:cs="仿宋_GB2312"/>
          <w:sz w:val="32"/>
          <w:szCs w:val="32"/>
          <w:lang w:eastAsia="zh-CN"/>
        </w:rPr>
        <w:t>够</w:t>
      </w:r>
      <w:r>
        <w:rPr>
          <w:rFonts w:hint="eastAsia" w:ascii="仿宋_GB2312" w:hAnsi="仿宋_GB2312" w:eastAsia="仿宋_GB2312" w:cs="仿宋_GB2312"/>
          <w:sz w:val="32"/>
          <w:szCs w:val="32"/>
        </w:rPr>
        <w:t>精准。下一步改进措施：</w:t>
      </w:r>
      <w:r>
        <w:rPr>
          <w:rFonts w:hint="default" w:ascii="Times New Roman" w:hAnsi="Times New Roman" w:eastAsia="仿宋_GB2312" w:cs="Times New Roman"/>
          <w:b w:val="0"/>
          <w:bCs w:val="0"/>
          <w:sz w:val="32"/>
          <w:szCs w:val="32"/>
        </w:rPr>
        <w:t>在今后的预算编制过程中，合理编制预算，提高预算的科学性和准确性</w:t>
      </w:r>
      <w:r>
        <w:rPr>
          <w:rFonts w:hint="eastAsia" w:ascii="Times New Roman" w:hAnsi="Times New Roman" w:eastAsia="仿宋_GB2312" w:cs="Times New Roman"/>
          <w:color w:val="000000"/>
          <w:sz w:val="32"/>
          <w:szCs w:val="32"/>
          <w:lang w:eastAsia="zh-CN"/>
        </w:rPr>
        <w:t>。</w:t>
      </w:r>
    </w:p>
    <w:p>
      <w:pPr>
        <w:numPr>
          <w:ilvl w:val="0"/>
          <w:numId w:val="7"/>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纪委办案</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110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110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促进了省属监管企业领导人员廉洁从业和企业改革发展</w:t>
      </w:r>
      <w:r>
        <w:rPr>
          <w:rFonts w:hint="eastAsia" w:ascii="仿宋_GB2312" w:hAnsi="仿宋_GB2312" w:eastAsia="仿宋_GB2312" w:cs="仿宋_GB2312"/>
          <w:sz w:val="32"/>
          <w:szCs w:val="32"/>
        </w:rPr>
        <w:t>，促进</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执纪审查工作</w:t>
      </w:r>
      <w:r>
        <w:rPr>
          <w:rFonts w:hint="eastAsia" w:ascii="仿宋_GB2312" w:hAnsi="仿宋_GB2312" w:eastAsia="仿宋_GB2312" w:cs="仿宋_GB2312"/>
          <w:sz w:val="32"/>
          <w:szCs w:val="32"/>
          <w:lang w:eastAsia="zh-CN"/>
        </w:rPr>
        <w:t>，确保了最大限度挽回经济损失，</w:t>
      </w:r>
      <w:r>
        <w:rPr>
          <w:rFonts w:hint="eastAsia" w:ascii="仿宋_GB2312" w:hAnsi="仿宋_GB2312" w:eastAsia="仿宋_GB2312" w:cs="仿宋_GB2312"/>
          <w:sz w:val="32"/>
          <w:szCs w:val="32"/>
        </w:rPr>
        <w:t>发现的主要问题：</w:t>
      </w:r>
      <w:r>
        <w:rPr>
          <w:rFonts w:hint="eastAsia" w:ascii="Times New Roman" w:hAnsi="Times New Roman" w:eastAsia="仿宋_GB2312" w:cs="Times New Roman"/>
          <w:color w:val="000000"/>
          <w:sz w:val="32"/>
          <w:szCs w:val="32"/>
        </w:rPr>
        <w:t>绩效目标</w:t>
      </w:r>
      <w:r>
        <w:rPr>
          <w:rFonts w:hint="eastAsia" w:ascii="Times New Roman" w:hAnsi="Times New Roman" w:eastAsia="仿宋_GB2312" w:cs="Times New Roman"/>
          <w:color w:val="000000"/>
          <w:sz w:val="32"/>
          <w:szCs w:val="32"/>
          <w:lang w:eastAsia="zh-CN"/>
        </w:rPr>
        <w:t>编制</w:t>
      </w:r>
      <w:r>
        <w:rPr>
          <w:rFonts w:hint="eastAsia" w:ascii="Times New Roman" w:hAnsi="Times New Roman" w:eastAsia="仿宋_GB2312" w:cs="Times New Roman"/>
          <w:color w:val="000000"/>
          <w:sz w:val="32"/>
          <w:szCs w:val="32"/>
        </w:rPr>
        <w:t>不够</w:t>
      </w:r>
      <w:r>
        <w:rPr>
          <w:rFonts w:hint="eastAsia" w:ascii="Times New Roman" w:hAnsi="Times New Roman" w:eastAsia="仿宋_GB2312" w:cs="Times New Roman"/>
          <w:color w:val="000000"/>
          <w:sz w:val="32"/>
          <w:szCs w:val="32"/>
          <w:lang w:eastAsia="zh-CN"/>
        </w:rPr>
        <w:t>完整</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指标不够</w:t>
      </w:r>
      <w:r>
        <w:rPr>
          <w:rFonts w:hint="eastAsia" w:ascii="Times New Roman" w:hAnsi="Times New Roman" w:eastAsia="仿宋_GB2312" w:cs="Times New Roman"/>
          <w:color w:val="000000"/>
          <w:sz w:val="32"/>
          <w:szCs w:val="32"/>
        </w:rPr>
        <w:t>细化量化</w:t>
      </w:r>
      <w:r>
        <w:rPr>
          <w:rFonts w:hint="eastAsia" w:ascii="仿宋_GB2312" w:hAnsi="仿宋_GB2312" w:eastAsia="仿宋_GB2312" w:cs="仿宋_GB2312"/>
          <w:sz w:val="32"/>
          <w:szCs w:val="32"/>
        </w:rPr>
        <w:t>。下一步改进措施：</w:t>
      </w:r>
      <w:r>
        <w:rPr>
          <w:rFonts w:hint="eastAsia" w:ascii="Times New Roman" w:hAnsi="Times New Roman" w:eastAsia="仿宋_GB2312" w:cs="Times New Roman"/>
          <w:color w:val="000000"/>
          <w:sz w:val="32"/>
          <w:szCs w:val="32"/>
          <w:lang w:eastAsia="zh-CN"/>
        </w:rPr>
        <w:t>完整编制</w:t>
      </w:r>
      <w:r>
        <w:rPr>
          <w:rFonts w:hint="eastAsia" w:ascii="Times New Roman" w:hAnsi="Times New Roman" w:eastAsia="仿宋_GB2312" w:cs="Times New Roman"/>
          <w:color w:val="000000"/>
          <w:sz w:val="32"/>
          <w:szCs w:val="32"/>
        </w:rPr>
        <w:t>绩效目标</w:t>
      </w:r>
      <w:r>
        <w:rPr>
          <w:rFonts w:hint="eastAsia" w:ascii="Times New Roman" w:hAnsi="Times New Roman" w:eastAsia="仿宋_GB2312" w:cs="Times New Roman"/>
          <w:color w:val="000000"/>
          <w:sz w:val="32"/>
          <w:szCs w:val="32"/>
          <w:lang w:eastAsia="zh-CN"/>
        </w:rPr>
        <w:t>、细化量化指标。</w:t>
      </w:r>
    </w:p>
    <w:tbl>
      <w:tblPr>
        <w:tblStyle w:val="18"/>
        <w:tblpPr w:leftFromText="180" w:rightFromText="180" w:vertAnchor="text" w:horzAnchor="page" w:tblpX="983" w:tblpY="984"/>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6"/>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省属企业年度财务审计</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380301-省国资委机关</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1390.5</w:t>
            </w:r>
            <w:r>
              <w:rPr>
                <w:rFonts w:hint="eastAsia" w:ascii="宋体" w:hAnsi="宋体" w:cs="宋体"/>
                <w:color w:val="000000"/>
                <w:sz w:val="24"/>
                <w:lang w:val="en-US" w:eastAsia="zh-CN"/>
              </w:rPr>
              <w:t>0</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1500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rPr>
              <w:t>1390.5</w:t>
            </w:r>
            <w:r>
              <w:rPr>
                <w:rFonts w:hint="eastAsia" w:ascii="宋体" w:hAnsi="宋体" w:cs="宋体"/>
                <w:color w:val="000000"/>
                <w:sz w:val="24"/>
                <w:lang w:val="en-US" w:eastAsia="zh-CN"/>
              </w:rPr>
              <w:t>0</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委托中介机构完成省属企业年度财务决算审计、经营业绩考核及工资专项审计、国有资本收益审核等事项，并出具审计、审核报告，作为省国资委监督管理工作的基础。</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委托中介机构完成省属企业年度财务决算审计、经营业绩考核及工资专项审计、国有资本收益审核等事项，并出具审计、审核报告，作为省国资委监督管理工作的基础。</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完成财务决算审计报告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完成18家集团企业财务决算审计报告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完成18家集团企业财务决算审计报告</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完成国有资本收益审核报告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完成18家集团企业国有资本收益审核报告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完成18家集团企业国有资本收益审核报告</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完成集团本部工资专项审计</w:t>
            </w:r>
            <w:r>
              <w:rPr>
                <w:rFonts w:hint="eastAsia" w:ascii="宋体" w:hAnsi="宋体" w:cs="宋体"/>
                <w:color w:val="000000"/>
                <w:sz w:val="24"/>
              </w:rPr>
              <w:tab/>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完成20家集团企业本部工资专项审计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完成20家集团企业本部工资专项审计</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完成集团负责人经营业绩考核清算</w:t>
            </w:r>
            <w:r>
              <w:rPr>
                <w:rFonts w:hint="eastAsia" w:ascii="宋体" w:hAnsi="宋体" w:cs="宋体"/>
                <w:color w:val="000000"/>
                <w:sz w:val="24"/>
              </w:rPr>
              <w:tab/>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完成19家集团企业负责人经营业绩考核清算</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完成19家集团企业负责人经营业绩考核清算</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审计（审核）报告合规性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符合企业会计准则以及省国资委相关业务规定</w:t>
            </w:r>
            <w:r>
              <w:rPr>
                <w:rFonts w:hint="eastAsia" w:ascii="宋体" w:hAnsi="宋体" w:cs="宋体"/>
                <w:color w:val="00000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符合企业会计准则以及省国资委相关业务规定</w:t>
            </w:r>
            <w:r>
              <w:rPr>
                <w:rFonts w:hint="eastAsia" w:ascii="宋体" w:hAnsi="宋体" w:cs="宋体"/>
                <w:color w:val="000000"/>
                <w:sz w:val="24"/>
                <w:lang w:eastAsia="zh-CN"/>
              </w:rPr>
              <w:t>。</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审计（审核）报告（上报）时限</w:t>
            </w:r>
            <w:r>
              <w:rPr>
                <w:rFonts w:hint="eastAsia" w:ascii="宋体" w:hAnsi="宋体" w:cs="宋体"/>
                <w:color w:val="000000"/>
                <w:sz w:val="24"/>
              </w:rPr>
              <w:tab/>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所有报告按业务约定书的规定时间上报，分别在2018年 4月10日前、4月20日前、5月10日前，经省国资委同意延期的除外。</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大部分报告均按时（或按省国资委同意延期的）上报，少部分报告存在逾期情况。</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对省国资委工作的促进作用</w:t>
            </w:r>
            <w:r>
              <w:rPr>
                <w:rStyle w:val="31"/>
                <w:rFonts w:eastAsia="宋体"/>
                <w:lang w:val="en-US" w:eastAsia="zh-CN" w:bidi="ar"/>
              </w:rPr>
              <w:t xml:space="preserve"> </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作为省国资委财务决算批复、经营业绩考核、工资清算、国有资本收益收缴的直接依据，是省国资委监督管理的基础。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作为省国资委财务决算批复、经营业绩考核、工资清算、国有资本收益收缴的直接依据，是省国资委监督管理的基础。</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财务决算报告  </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长期，且大部分企业报告将用于信息披露、银行贷款等。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 xml:space="preserve">长期，且大部分企业报告将用于信息披露、银行贷款等。 </w:t>
            </w:r>
          </w:p>
        </w:tc>
      </w:tr>
    </w:tbl>
    <w:p>
      <w:pPr>
        <w:tabs>
          <w:tab w:val="left" w:pos="312"/>
        </w:tabs>
        <w:spacing w:line="580" w:lineRule="exact"/>
        <w:rPr>
          <w:rFonts w:ascii="仿宋_GB2312" w:hAnsi="仿宋_GB2312" w:eastAsia="仿宋_GB2312" w:cs="仿宋_GB2312"/>
          <w:sz w:val="32"/>
          <w:szCs w:val="32"/>
        </w:rPr>
      </w:pPr>
    </w:p>
    <w:tbl>
      <w:tblPr>
        <w:tblStyle w:val="18"/>
        <w:tblpPr w:leftFromText="180" w:rightFromText="180" w:vertAnchor="text" w:horzAnchor="page" w:tblpX="983" w:tblpY="984"/>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6"/>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送温暖</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380301-省国资委机关</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300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300</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300</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Layout w:type="fixed"/>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通过开展国有企业春节“送温暖”活动，体现党全心全意为人民服务宗旨，解决职工困难，及时将党和政府的关怀和温暖及时送到企业，确保职工群众过一个快乐、祥和、平安的春节。</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开展国有企业春节“送温暖”活动，体现</w:t>
            </w:r>
            <w:r>
              <w:rPr>
                <w:rFonts w:hint="eastAsia" w:ascii="宋体" w:hAnsi="宋体" w:cs="宋体"/>
                <w:color w:val="000000"/>
                <w:sz w:val="24"/>
                <w:lang w:eastAsia="zh-CN"/>
              </w:rPr>
              <w:t>了</w:t>
            </w:r>
            <w:r>
              <w:rPr>
                <w:rFonts w:hint="eastAsia" w:ascii="宋体" w:hAnsi="宋体" w:cs="宋体"/>
                <w:color w:val="000000"/>
                <w:sz w:val="24"/>
              </w:rPr>
              <w:t>党全心全意为人民服务宗旨，解决职工困难，及时将党和政府的关怀和温暖及时送到企业，确保职工群众过一个快乐、祥和、平安的春节。</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资金覆盖省属监管企业比率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收到资金的省属监管企业开展慰问活动比率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2019年春节前</w:t>
            </w:r>
            <w:r>
              <w:rPr>
                <w:rFonts w:hint="eastAsia" w:ascii="宋体" w:hAnsi="宋体" w:cs="宋体"/>
                <w:color w:val="000000"/>
                <w:sz w:val="24"/>
              </w:rPr>
              <w:tab/>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2019年春节前</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对扶贫工作促进作用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对企业极其困难职工进行走访慰问。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对企业极其困难职工进行走访慰问。</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受助企业困难职工满意度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bl>
    <w:p>
      <w:pPr>
        <w:rPr>
          <w:rFonts w:ascii="Calibri" w:hAnsi="Calibri"/>
        </w:rPr>
      </w:pPr>
    </w:p>
    <w:tbl>
      <w:tblPr>
        <w:tblStyle w:val="18"/>
        <w:tblpPr w:leftFromText="180" w:rightFromText="180" w:vertAnchor="text" w:horzAnchor="page" w:tblpX="983" w:tblpY="984"/>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6"/>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困难职工帮扶</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380301-省国资委机关</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300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300</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300</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规范省属企业的困难职工帮扶工作，用好省属企业困难职工帮扶资金，努力扩大帮扶资金的覆盖面，使广大困难职工深切体会党和政府的关心与关爱。</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eastAsia="zh-CN"/>
              </w:rPr>
              <w:t>企业严格按照文件规定的条件申报，并经省国资委党委会议研究确定，使省属企业困难职工深切感受到了党和政府的关心关爱。</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完成对省属企业困难职工及家庭的一般性救助、重大疾病和慢性病救助、癌症和绝症救助、子女入学救助。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每年800户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2018年1000户以上</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2018年10月底前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2018年10月底</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当年使用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受助企业每年底前发放完毕</w:t>
            </w:r>
            <w:r>
              <w:rPr>
                <w:rFonts w:hint="eastAsia" w:ascii="宋体" w:hAnsi="宋体" w:cs="宋体"/>
                <w:color w:val="000000"/>
                <w:sz w:val="24"/>
              </w:rPr>
              <w:tab/>
            </w:r>
            <w:r>
              <w:rPr>
                <w:rFonts w:hint="eastAsia" w:ascii="宋体" w:hAnsi="宋体" w:cs="宋体"/>
                <w:color w:val="000000"/>
                <w:sz w:val="24"/>
              </w:rPr>
              <w:tab/>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年底前发放完毕</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对困难职工的关心、关爱</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充分发挥帮扶资金拾遗补缺、救急救难的原则，缓解企业资金压力。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给受助企业及困难职工带来极大的帮助，受到广大困难职工的衷心拥护</w:t>
            </w:r>
            <w:r>
              <w:rPr>
                <w:rFonts w:hint="eastAsia" w:ascii="宋体" w:hAnsi="宋体" w:cs="宋体"/>
                <w:color w:val="000000"/>
                <w:sz w:val="24"/>
                <w:lang w:eastAsia="zh-CN"/>
              </w:rPr>
              <w:t>。</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帮扶资金使用年限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坚持每年使用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因受经费影响，党委决定2019年起终止。</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受助企业困难职工满意度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bl>
    <w:p>
      <w:pPr>
        <w:spacing w:line="580" w:lineRule="exact"/>
        <w:rPr>
          <w:rFonts w:ascii="仿宋_GB2312" w:hAnsi="仿宋_GB2312" w:eastAsia="仿宋_GB2312" w:cs="仿宋_GB2312"/>
          <w:sz w:val="32"/>
          <w:szCs w:val="32"/>
        </w:rPr>
      </w:pPr>
    </w:p>
    <w:tbl>
      <w:tblPr>
        <w:tblStyle w:val="18"/>
        <w:tblpPr w:leftFromText="180" w:rightFromText="180" w:vertAnchor="text" w:horzAnchor="page" w:tblpX="983" w:tblpY="984"/>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PrEx>
        <w:trPr>
          <w:trHeight w:val="1034" w:hRule="atLeast"/>
        </w:trPr>
        <w:tc>
          <w:tcPr>
            <w:tcW w:w="9960" w:type="dxa"/>
            <w:gridSpan w:val="6"/>
            <w:tcMar>
              <w:top w:w="15" w:type="dxa"/>
              <w:left w:w="15" w:type="dxa"/>
              <w:bottom w:w="0" w:type="dxa"/>
              <w:right w:w="15" w:type="dxa"/>
            </w:tcMar>
            <w:vAlign w:val="center"/>
          </w:tcPr>
          <w:p>
            <w:pPr>
              <w:pStyle w:val="26"/>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经济责任审计</w:t>
            </w:r>
          </w:p>
        </w:tc>
      </w:tr>
      <w:tr>
        <w:tblPrEx>
          <w:tblLayout w:type="fixed"/>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380301-省国资委机关</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126.5</w:t>
            </w: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72.5</w:t>
            </w:r>
            <w:r>
              <w:rPr>
                <w:rFonts w:hint="eastAsia" w:ascii="宋体" w:hAnsi="宋体" w:cs="宋体"/>
                <w:color w:val="000000"/>
                <w:sz w:val="24"/>
                <w:lang w:val="en-US" w:eastAsia="zh-CN"/>
              </w:rPr>
              <w:t>0</w:t>
            </w:r>
          </w:p>
        </w:tc>
      </w:tr>
      <w:tr>
        <w:tblPrEx>
          <w:tblLayout w:type="fixed"/>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126.5</w:t>
            </w: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72.5</w:t>
            </w:r>
            <w:r>
              <w:rPr>
                <w:rFonts w:hint="eastAsia" w:ascii="宋体" w:hAnsi="宋体" w:cs="宋体"/>
                <w:color w:val="000000"/>
                <w:sz w:val="24"/>
                <w:lang w:val="en-US" w:eastAsia="zh-CN"/>
              </w:rPr>
              <w:t>0</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完成4户省属企业领导人员任期或离任经济责任审计。通过审计监督，更好地促进企业领导人员依法履职、廉洁从业，确保企业稳定健康发展</w:t>
            </w:r>
            <w:r>
              <w:rPr>
                <w:rFonts w:hint="eastAsia" w:ascii="宋体" w:hAnsi="宋体" w:cs="宋体"/>
                <w:color w:val="000000"/>
                <w:sz w:val="24"/>
                <w:lang w:eastAsia="zh-CN"/>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val="en-US" w:eastAsia="zh-CN"/>
              </w:rPr>
              <w:t>完成了3户省属企业领导人员经济责任审计和2015—2017年国有资本经营预算支出绩效评价，形成相应的报告。</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Layout w:type="fixed"/>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出具审计报告和审计结果报告</w:t>
            </w:r>
            <w:r>
              <w:rPr>
                <w:rFonts w:hint="eastAsia" w:ascii="宋体" w:hAnsi="宋体" w:cs="宋体"/>
                <w:color w:val="000000"/>
                <w:sz w:val="24"/>
              </w:rPr>
              <w:tab/>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各3个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6个报告</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审计报告的质量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符合质量要求</w:t>
            </w:r>
          </w:p>
        </w:tc>
      </w:tr>
      <w:tr>
        <w:tblPrEx>
          <w:tblLayout w:type="fixed"/>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完成（上报）时限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2018年12月</w:t>
            </w:r>
          </w:p>
        </w:tc>
      </w:tr>
      <w:tr>
        <w:tblPrEx>
          <w:tblLayout w:type="fixed"/>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对经济责任审计工作的促进作用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100%</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经济责任审计威慑力影响年限</w:t>
            </w:r>
            <w:r>
              <w:rPr>
                <w:rFonts w:hint="eastAsia" w:ascii="宋体" w:hAnsi="宋体" w:cs="宋体"/>
                <w:color w:val="000000"/>
                <w:sz w:val="24"/>
              </w:rPr>
              <w:tab/>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长期有效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长期有效</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被审计对象和省国资委预算处满意度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bl>
    <w:p>
      <w:pPr>
        <w:spacing w:line="580" w:lineRule="exact"/>
        <w:rPr>
          <w:rFonts w:ascii="仿宋_GB2312" w:hAnsi="仿宋_GB2312" w:eastAsia="仿宋_GB2312" w:cs="仿宋_GB2312"/>
          <w:sz w:val="32"/>
          <w:szCs w:val="32"/>
        </w:rPr>
      </w:pPr>
    </w:p>
    <w:tbl>
      <w:tblPr>
        <w:tblStyle w:val="18"/>
        <w:tblpPr w:leftFromText="180" w:rightFromText="180" w:vertAnchor="text" w:horzAnchor="page" w:tblpX="983" w:tblpY="984"/>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6"/>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纪委办案</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380301-省国资委机关</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110</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110</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开展3-6个专案，最大限度挽回经济损失，促进执纪审查工作，严肃查处违纪行为。</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cs="宋体" w:asciiTheme="minorEastAsia" w:hAnsiTheme="minorEastAsia" w:eastAsiaTheme="minorEastAsia"/>
                <w:color w:val="000000"/>
                <w:sz w:val="24"/>
              </w:rPr>
              <w:t>完成华西集团、能投集团、川煤集团、铁役集团、川投集团部分干部职工违规经商专案，</w:t>
            </w:r>
            <w:r>
              <w:rPr>
                <w:rFonts w:hint="eastAsia" w:cs="宋体" w:asciiTheme="minorEastAsia" w:hAnsiTheme="minorEastAsia" w:eastAsiaTheme="minorEastAsia"/>
                <w:kern w:val="0"/>
                <w:sz w:val="24"/>
                <w:lang w:val="zh-CN"/>
              </w:rPr>
              <w:t>追缴违规所得589.49万元（铁投集团555.81万元、川煤集团29.68万元、川投集团4万元），完成商投集团四川宾馆专案，追缴违规所得1199万元；开展对2户企业的巡察。</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开展初步核实</w:t>
            </w:r>
            <w:r>
              <w:rPr>
                <w:rFonts w:hint="eastAsia" w:ascii="宋体" w:hAnsi="宋体" w:cs="宋体"/>
                <w:color w:val="000000"/>
                <w:sz w:val="24"/>
              </w:rPr>
              <w:tab/>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eastAsia="宋体" w:cs="宋体"/>
                <w:color w:val="000000"/>
                <w:sz w:val="24"/>
                <w:szCs w:val="24"/>
              </w:rPr>
              <w:t>除完成华西集团、能投集团、川煤集团、铁役集团、川投集团部分干部职工违规经商专案，</w:t>
            </w:r>
            <w:r>
              <w:rPr>
                <w:rFonts w:hint="eastAsia" w:ascii="宋体" w:hAnsi="宋体" w:cs="宋体"/>
                <w:color w:val="000000"/>
                <w:kern w:val="2"/>
                <w:sz w:val="24"/>
                <w:szCs w:val="24"/>
                <w:lang w:val="zh-CN"/>
              </w:rPr>
              <w:t>追缴违规所得589.49万元;完成商投集团四川宾馆专案，追缴违规所得1199万元，另完成初核57件。</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开展立案审查</w:t>
            </w:r>
            <w:r>
              <w:rPr>
                <w:rFonts w:hint="eastAsia" w:ascii="宋体" w:hAnsi="宋体" w:cs="宋体"/>
                <w:color w:val="000000"/>
                <w:sz w:val="24"/>
              </w:rPr>
              <w:tab/>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立案查处专案立案33件，另个案交投集团1件，能投集团2件，共开展36件立案审查。</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符合监督执纪规则要求</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严格按执纪规则要求完成执纪审查工作。</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按照省纪委管理办法开支经费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控制在省纪委规定标准内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控制在省纪委规定标准内</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最大限度挽回经济损失</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追回违纪资金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cs="宋体" w:asciiTheme="minorEastAsia" w:hAnsiTheme="minorEastAsia" w:eastAsiaTheme="minorEastAsia"/>
                <w:kern w:val="0"/>
                <w:sz w:val="24"/>
                <w:lang w:val="zh-CN"/>
              </w:rPr>
              <w:t>1788.49万元</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严肃查处违纪行为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惩处严重违纪者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36人受到党纪政纪处分</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促进企业领导人员廉洁从业和企业改革发展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推动企业合规经营，推动企业领导人员依法行权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推动企业合规经营，推动企业领导人员依法行权</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促进执纪审查工作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推动企业开展执纪审查，营造改革发展良好环境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color w:val="000000"/>
                <w:sz w:val="24"/>
              </w:rPr>
              <w:t>推动企业开展执纪审查，营造改革发展良好环境</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及时回复实名举报者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对实名举报人100%回复</w:t>
            </w:r>
          </w:p>
        </w:tc>
      </w:tr>
    </w:tbl>
    <w:p>
      <w:pPr>
        <w:spacing w:line="580" w:lineRule="exact"/>
        <w:rPr>
          <w:rFonts w:ascii="仿宋_GB2312" w:hAnsi="仿宋_GB2312" w:eastAsia="仿宋_GB2312" w:cs="仿宋_GB2312"/>
          <w:sz w:val="32"/>
          <w:szCs w:val="32"/>
        </w:rPr>
      </w:pPr>
    </w:p>
    <w:p>
      <w:pPr>
        <w:numPr>
          <w:ilvl w:val="0"/>
          <w:numId w:val="6"/>
        </w:numPr>
        <w:spacing w:line="580" w:lineRule="exact"/>
        <w:ind w:firstLine="640"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w:t>
      </w:r>
      <w:r>
        <w:rPr>
          <w:rFonts w:hint="eastAsia" w:ascii="仿宋_GB2312" w:hAnsi="仿宋_GB2312" w:eastAsia="仿宋_GB2312" w:cs="仿宋_GB2312"/>
          <w:sz w:val="32"/>
          <w:szCs w:val="32"/>
          <w:lang w:eastAsia="zh-CN"/>
        </w:rPr>
        <w:t>省国资委</w:t>
      </w:r>
      <w:r>
        <w:rPr>
          <w:rFonts w:hint="eastAsia" w:ascii="仿宋_GB2312" w:hAnsi="仿宋_GB2312" w:eastAsia="仿宋_GB2312" w:cs="仿宋_GB2312"/>
          <w:sz w:val="32"/>
          <w:szCs w:val="32"/>
        </w:rPr>
        <w:t>2018年部门整体支出绩效评价报告》见附件。</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8"/>
          <w:rFonts w:ascii="黑体" w:hAnsi="黑体" w:eastAsia="黑体"/>
        </w:rPr>
      </w:pPr>
      <w:bookmarkStart w:id="54" w:name="_Toc15396612"/>
      <w:bookmarkStart w:id="55" w:name="_Toc15377221"/>
      <w:r>
        <w:rPr>
          <w:rFonts w:hint="eastAsia" w:ascii="黑体" w:hAnsi="黑体" w:eastAsia="黑体"/>
          <w:color w:val="000000"/>
          <w:sz w:val="32"/>
          <w:szCs w:val="32"/>
        </w:rPr>
        <w:t>十</w:t>
      </w:r>
      <w:r>
        <w:rPr>
          <w:rStyle w:val="28"/>
          <w:rFonts w:hint="eastAsia" w:ascii="黑体" w:hAnsi="黑体" w:eastAsia="黑体"/>
        </w:rPr>
        <w:t>一、</w:t>
      </w:r>
      <w:r>
        <w:rPr>
          <w:rStyle w:val="28"/>
          <w:rFonts w:hint="eastAsia" w:ascii="黑体" w:hAnsi="黑体" w:eastAsia="黑体"/>
          <w:b w:val="0"/>
        </w:rPr>
        <w:t>其他重要事项的情况说明</w:t>
      </w:r>
      <w:bookmarkEnd w:id="54"/>
      <w:bookmarkEnd w:id="55"/>
    </w:p>
    <w:p>
      <w:pPr>
        <w:spacing w:line="600" w:lineRule="exact"/>
        <w:ind w:firstLine="640" w:firstLineChars="200"/>
        <w:outlineLvl w:val="2"/>
        <w:rPr>
          <w:rFonts w:ascii="仿宋" w:hAnsi="仿宋" w:eastAsia="仿宋"/>
          <w:color w:val="000000"/>
          <w:sz w:val="32"/>
          <w:szCs w:val="32"/>
        </w:rPr>
      </w:pPr>
      <w:bookmarkStart w:id="56" w:name="_Toc15377222"/>
      <w:r>
        <w:rPr>
          <w:rFonts w:hint="eastAsia" w:ascii="仿宋" w:hAnsi="仿宋" w:eastAsia="仿宋"/>
          <w:b/>
          <w:color w:val="000000"/>
          <w:sz w:val="32"/>
          <w:szCs w:val="32"/>
        </w:rPr>
        <w:t>（一）机关运行经费支出情况</w:t>
      </w:r>
      <w:bookmarkEnd w:id="56"/>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省国资委</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497.78</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与</w:t>
      </w:r>
      <w:r>
        <w:rPr>
          <w:rFonts w:hint="eastAsia" w:ascii="仿宋_GB2312" w:eastAsia="仿宋_GB2312"/>
          <w:color w:val="000000"/>
          <w:sz w:val="32"/>
          <w:szCs w:val="32"/>
          <w:lang w:val="en-US" w:eastAsia="zh-CN"/>
        </w:rPr>
        <w:t>2017年决算数持平。</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bookmarkStart w:id="57" w:name="_Toc15377223"/>
      <w:r>
        <w:rPr>
          <w:rFonts w:hint="eastAsia" w:ascii="仿宋" w:hAnsi="仿宋" w:eastAsia="仿宋"/>
          <w:b/>
          <w:color w:val="000000"/>
          <w:sz w:val="32"/>
          <w:szCs w:val="32"/>
        </w:rPr>
        <w:t>（二）政府采购支出情况</w:t>
      </w:r>
      <w:bookmarkEnd w:id="5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省国资委</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2247.32</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37.63</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2209.69</w:t>
      </w:r>
      <w:r>
        <w:rPr>
          <w:rFonts w:hint="eastAsia" w:ascii="仿宋_GB2312" w:eastAsia="仿宋_GB2312"/>
          <w:color w:val="000000"/>
          <w:sz w:val="32"/>
          <w:szCs w:val="32"/>
        </w:rPr>
        <w:t>万元。主要用于</w:t>
      </w:r>
      <w:r>
        <w:rPr>
          <w:rFonts w:hint="eastAsia" w:ascii="华文仿宋" w:hAnsi="华文仿宋" w:eastAsia="华文仿宋" w:cs="华文仿宋"/>
          <w:sz w:val="32"/>
          <w:szCs w:val="32"/>
        </w:rPr>
        <w:t>省属国有企业</w:t>
      </w:r>
      <w:r>
        <w:rPr>
          <w:rFonts w:hint="eastAsia" w:ascii="华文仿宋" w:hAnsi="华文仿宋" w:eastAsia="华文仿宋" w:cs="华文仿宋"/>
          <w:sz w:val="32"/>
          <w:szCs w:val="32"/>
          <w:lang w:eastAsia="zh-CN"/>
        </w:rPr>
        <w:t>年度</w:t>
      </w:r>
      <w:r>
        <w:rPr>
          <w:rFonts w:hint="eastAsia" w:ascii="华文仿宋" w:hAnsi="华文仿宋" w:eastAsia="华文仿宋" w:cs="华文仿宋"/>
          <w:sz w:val="32"/>
          <w:szCs w:val="32"/>
        </w:rPr>
        <w:t>财务</w:t>
      </w:r>
      <w:r>
        <w:rPr>
          <w:rFonts w:hint="eastAsia" w:ascii="华文仿宋" w:hAnsi="华文仿宋" w:eastAsia="华文仿宋" w:cs="华文仿宋"/>
          <w:sz w:val="32"/>
          <w:szCs w:val="32"/>
          <w:lang w:eastAsia="zh-CN"/>
        </w:rPr>
        <w:t>审计、</w:t>
      </w:r>
      <w:r>
        <w:rPr>
          <w:rFonts w:hint="eastAsia" w:ascii="华文仿宋" w:hAnsi="华文仿宋" w:eastAsia="华文仿宋" w:cs="华文仿宋"/>
          <w:sz w:val="32"/>
          <w:szCs w:val="32"/>
        </w:rPr>
        <w:t>经济责任审计、投资风险管理体系委托业务</w:t>
      </w:r>
      <w:r>
        <w:rPr>
          <w:rFonts w:hint="eastAsia" w:ascii="华文仿宋" w:hAnsi="华文仿宋" w:eastAsia="华文仿宋" w:cs="华文仿宋"/>
          <w:sz w:val="32"/>
          <w:szCs w:val="32"/>
          <w:lang w:eastAsia="zh-CN"/>
        </w:rPr>
        <w:t>、信息化建设及运行维护、</w:t>
      </w:r>
      <w:r>
        <w:rPr>
          <w:rFonts w:hint="eastAsia" w:ascii="华文仿宋" w:hAnsi="华文仿宋" w:eastAsia="华文仿宋" w:cs="华文仿宋"/>
          <w:sz w:val="32"/>
          <w:szCs w:val="32"/>
        </w:rPr>
        <w:t>办公用房租赁、物业管理费、</w:t>
      </w:r>
      <w:r>
        <w:rPr>
          <w:rFonts w:hint="eastAsia" w:ascii="华文仿宋" w:hAnsi="华文仿宋" w:eastAsia="华文仿宋" w:cs="华文仿宋"/>
          <w:sz w:val="32"/>
          <w:szCs w:val="32"/>
          <w:lang w:eastAsia="zh-CN"/>
        </w:rPr>
        <w:t>通用办公设备、复印纸</w:t>
      </w:r>
      <w:r>
        <w:rPr>
          <w:rFonts w:hint="eastAsia" w:ascii="华文仿宋" w:hAnsi="华文仿宋" w:eastAsia="华文仿宋" w:cs="华文仿宋"/>
          <w:sz w:val="32"/>
          <w:szCs w:val="32"/>
        </w:rPr>
        <w:t>购置及公务用车保险、燃油、维修维护费用支出</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1984.28</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88.30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highlight w:val="none"/>
        </w:rPr>
      </w:pPr>
      <w:bookmarkStart w:id="58" w:name="_Toc15377224"/>
      <w:r>
        <w:rPr>
          <w:rFonts w:hint="eastAsia" w:ascii="仿宋" w:hAnsi="仿宋" w:eastAsia="仿宋"/>
          <w:b/>
          <w:color w:val="000000"/>
          <w:sz w:val="32"/>
          <w:szCs w:val="32"/>
          <w:highlight w:val="none"/>
        </w:rPr>
        <w:t>（三）国有资产占有使用情况</w:t>
      </w:r>
      <w:bookmarkEnd w:id="58"/>
    </w:p>
    <w:p>
      <w:pPr>
        <w:autoSpaceDE w:val="0"/>
        <w:autoSpaceDN w:val="0"/>
        <w:adjustRightInd w:val="0"/>
        <w:spacing w:line="600" w:lineRule="exact"/>
        <w:ind w:firstLine="640" w:firstLineChars="200"/>
        <w:jc w:val="left"/>
        <w:rPr>
          <w:rFonts w:ascii="仿宋_GB2312" w:eastAsia="仿宋_GB2312"/>
          <w:color w:val="000000"/>
          <w:sz w:val="32"/>
          <w:szCs w:val="32"/>
          <w:highlight w:val="none"/>
        </w:rPr>
      </w:pPr>
      <w:r>
        <w:rPr>
          <w:rFonts w:hint="eastAsia" w:ascii="仿宋_GB2312" w:eastAsia="仿宋_GB2312"/>
          <w:color w:val="000000"/>
          <w:sz w:val="32"/>
          <w:szCs w:val="32"/>
          <w:highlight w:val="none"/>
        </w:rPr>
        <w:t>截至</w:t>
      </w:r>
      <w:r>
        <w:rPr>
          <w:rFonts w:ascii="仿宋_GB2312" w:eastAsia="仿宋_GB2312"/>
          <w:color w:val="000000"/>
          <w:sz w:val="32"/>
          <w:szCs w:val="32"/>
          <w:highlight w:val="none"/>
        </w:rPr>
        <w:t>201</w:t>
      </w:r>
      <w:r>
        <w:rPr>
          <w:rFonts w:hint="eastAsia" w:ascii="仿宋_GB2312" w:eastAsia="仿宋_GB2312"/>
          <w:color w:val="000000"/>
          <w:sz w:val="32"/>
          <w:szCs w:val="32"/>
          <w:highlight w:val="none"/>
        </w:rPr>
        <w:t>8年</w:t>
      </w:r>
      <w:r>
        <w:rPr>
          <w:rFonts w:ascii="仿宋_GB2312" w:eastAsia="仿宋_GB2312"/>
          <w:color w:val="000000"/>
          <w:sz w:val="32"/>
          <w:szCs w:val="32"/>
          <w:highlight w:val="none"/>
        </w:rPr>
        <w:t>12</w:t>
      </w:r>
      <w:r>
        <w:rPr>
          <w:rFonts w:hint="eastAsia" w:ascii="仿宋_GB2312" w:eastAsia="仿宋_GB2312"/>
          <w:color w:val="000000"/>
          <w:sz w:val="32"/>
          <w:szCs w:val="32"/>
          <w:highlight w:val="none"/>
        </w:rPr>
        <w:t>月</w:t>
      </w:r>
      <w:r>
        <w:rPr>
          <w:rFonts w:ascii="仿宋_GB2312" w:eastAsia="仿宋_GB2312"/>
          <w:color w:val="000000"/>
          <w:sz w:val="32"/>
          <w:szCs w:val="32"/>
          <w:highlight w:val="none"/>
        </w:rPr>
        <w:t>31</w:t>
      </w:r>
      <w:r>
        <w:rPr>
          <w:rFonts w:hint="eastAsia" w:ascii="仿宋_GB2312" w:eastAsia="仿宋_GB2312"/>
          <w:color w:val="000000"/>
          <w:sz w:val="32"/>
          <w:szCs w:val="32"/>
          <w:highlight w:val="none"/>
        </w:rPr>
        <w:t>日，</w:t>
      </w:r>
      <w:r>
        <w:rPr>
          <w:rFonts w:hint="eastAsia" w:ascii="仿宋_GB2312" w:eastAsia="仿宋_GB2312"/>
          <w:color w:val="000000"/>
          <w:sz w:val="32"/>
          <w:szCs w:val="32"/>
          <w:highlight w:val="none"/>
          <w:lang w:eastAsia="zh-CN"/>
        </w:rPr>
        <w:t>省国资委</w:t>
      </w:r>
      <w:r>
        <w:rPr>
          <w:rFonts w:hint="eastAsia" w:ascii="仿宋_GB2312" w:eastAsia="仿宋_GB2312"/>
          <w:color w:val="000000"/>
          <w:sz w:val="32"/>
          <w:szCs w:val="32"/>
          <w:highlight w:val="none"/>
        </w:rPr>
        <w:t>共有车辆</w:t>
      </w:r>
      <w:r>
        <w:rPr>
          <w:rFonts w:hint="eastAsia" w:ascii="仿宋_GB2312" w:eastAsia="仿宋_GB2312"/>
          <w:color w:val="000000"/>
          <w:sz w:val="32"/>
          <w:szCs w:val="32"/>
          <w:highlight w:val="none"/>
          <w:lang w:val="en-US" w:eastAsia="zh-CN"/>
        </w:rPr>
        <w:t>8</w:t>
      </w:r>
      <w:r>
        <w:rPr>
          <w:rFonts w:hint="eastAsia" w:ascii="仿宋_GB2312" w:eastAsia="仿宋_GB2312"/>
          <w:color w:val="000000"/>
          <w:sz w:val="32"/>
          <w:szCs w:val="32"/>
          <w:highlight w:val="none"/>
        </w:rPr>
        <w:t>辆，其中：部级领导干部用车</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辆、一般公务用车</w:t>
      </w:r>
      <w:r>
        <w:rPr>
          <w:rFonts w:hint="eastAsia" w:ascii="仿宋_GB2312" w:eastAsia="仿宋_GB2312"/>
          <w:color w:val="000000"/>
          <w:sz w:val="32"/>
          <w:szCs w:val="32"/>
          <w:highlight w:val="none"/>
          <w:lang w:val="en-US" w:eastAsia="zh-CN"/>
        </w:rPr>
        <w:t>8</w:t>
      </w:r>
      <w:r>
        <w:rPr>
          <w:rFonts w:hint="eastAsia" w:ascii="仿宋_GB2312" w:eastAsia="仿宋_GB2312"/>
          <w:color w:val="000000"/>
          <w:sz w:val="32"/>
          <w:szCs w:val="32"/>
          <w:highlight w:val="none"/>
        </w:rPr>
        <w:t>辆、一般执法执勤用车</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辆、特种专业技术用车</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辆、其他用车</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辆</w:t>
      </w:r>
      <w:r>
        <w:rPr>
          <w:rFonts w:hint="eastAsia" w:ascii="仿宋_GB2312" w:eastAsia="仿宋_GB2312"/>
          <w:color w:val="000000"/>
          <w:sz w:val="32"/>
          <w:szCs w:val="32"/>
          <w:highlight w:val="none"/>
          <w:lang w:eastAsia="zh-CN"/>
        </w:rPr>
        <w:t>，</w:t>
      </w:r>
      <w:r>
        <w:rPr>
          <w:rFonts w:hint="eastAsia" w:ascii="仿宋_GB2312" w:eastAsia="仿宋_GB2312"/>
          <w:color w:val="000000" w:themeColor="text1"/>
          <w:sz w:val="32"/>
          <w:szCs w:val="32"/>
          <w:highlight w:val="none"/>
          <w14:textFill>
            <w14:solidFill>
              <w14:schemeClr w14:val="tx1"/>
            </w14:solidFill>
          </w14:textFill>
        </w:rPr>
        <w:t>单价</w:t>
      </w:r>
      <w:r>
        <w:rPr>
          <w:rFonts w:ascii="仿宋_GB2312" w:eastAsia="仿宋_GB2312"/>
          <w:color w:val="000000" w:themeColor="text1"/>
          <w:sz w:val="32"/>
          <w:szCs w:val="32"/>
          <w:highlight w:val="none"/>
          <w14:textFill>
            <w14:solidFill>
              <w14:schemeClr w14:val="tx1"/>
            </w14:solidFill>
          </w14:textFill>
        </w:rPr>
        <w:t>50</w:t>
      </w:r>
      <w:r>
        <w:rPr>
          <w:rFonts w:hint="eastAsia" w:ascii="仿宋_GB2312" w:eastAsia="仿宋_GB2312"/>
          <w:color w:val="000000" w:themeColor="text1"/>
          <w:sz w:val="32"/>
          <w:szCs w:val="32"/>
          <w:highlight w:val="none"/>
          <w14:textFill>
            <w14:solidFill>
              <w14:schemeClr w14:val="tx1"/>
            </w14:solidFill>
          </w14:textFill>
        </w:rPr>
        <w:t>万元以上通用设备</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台（套），单价</w:t>
      </w:r>
      <w:r>
        <w:rPr>
          <w:rFonts w:ascii="仿宋_GB2312" w:eastAsia="仿宋_GB2312"/>
          <w:color w:val="000000" w:themeColor="text1"/>
          <w:sz w:val="32"/>
          <w:szCs w:val="32"/>
          <w:highlight w:val="none"/>
          <w14:textFill>
            <w14:solidFill>
              <w14:schemeClr w14:val="tx1"/>
            </w14:solidFill>
          </w14:textFill>
        </w:rPr>
        <w:t>100</w:t>
      </w:r>
      <w:r>
        <w:rPr>
          <w:rFonts w:hint="eastAsia" w:ascii="仿宋_GB2312" w:eastAsia="仿宋_GB2312"/>
          <w:color w:val="000000"/>
          <w:sz w:val="32"/>
          <w:szCs w:val="32"/>
          <w:highlight w:val="none"/>
        </w:rPr>
        <w:t>万元以上专用设备</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台（套）。</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8"/>
        </w:numPr>
        <w:spacing w:line="600" w:lineRule="exact"/>
        <w:ind w:firstLine="663" w:firstLineChars="150"/>
        <w:jc w:val="center"/>
        <w:outlineLvl w:val="0"/>
        <w:rPr>
          <w:rStyle w:val="27"/>
          <w:rFonts w:ascii="黑体" w:hAnsi="黑体" w:eastAsia="黑体"/>
          <w:b w:val="0"/>
        </w:rPr>
      </w:pPr>
      <w:bookmarkStart w:id="59" w:name="_Toc15396613"/>
      <w:bookmarkStart w:id="60" w:name="_Toc15377225"/>
      <w:r>
        <w:rPr>
          <w:rFonts w:hint="eastAsia" w:ascii="黑体" w:hAnsi="黑体" w:eastAsia="黑体"/>
          <w:b/>
          <w:color w:val="000000"/>
          <w:sz w:val="44"/>
          <w:szCs w:val="44"/>
        </w:rPr>
        <w:t>名</w:t>
      </w:r>
      <w:r>
        <w:rPr>
          <w:rStyle w:val="27"/>
          <w:rFonts w:hint="eastAsia" w:ascii="黑体" w:hAnsi="黑体" w:eastAsia="黑体"/>
          <w:b w:val="0"/>
        </w:rPr>
        <w:t>词解释</w:t>
      </w:r>
      <w:bookmarkEnd w:id="59"/>
      <w:bookmarkEnd w:id="60"/>
    </w:p>
    <w:p>
      <w:pPr>
        <w:spacing w:line="600" w:lineRule="exact"/>
        <w:jc w:val="left"/>
        <w:rPr>
          <w:rFonts w:ascii="宋体"/>
          <w:b/>
          <w:color w:val="000000"/>
          <w:sz w:val="44"/>
          <w:szCs w:val="44"/>
        </w:rPr>
      </w:pPr>
    </w:p>
    <w:p>
      <w:pPr>
        <w:pStyle w:val="25"/>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5"/>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其他收入：指单位取得的除上述收入以外的各项收入。主要是</w:t>
      </w:r>
      <w:r>
        <w:rPr>
          <w:rFonts w:hint="eastAsia" w:ascii="仿宋_GB2312" w:eastAsia="仿宋_GB2312"/>
          <w:sz w:val="32"/>
          <w:szCs w:val="32"/>
          <w:lang w:eastAsia="zh-CN"/>
        </w:rPr>
        <w:t>利息收入</w:t>
      </w:r>
      <w:r>
        <w:rPr>
          <w:rFonts w:hint="eastAsia" w:ascii="仿宋_GB2312" w:eastAsia="仿宋_GB2312"/>
          <w:sz w:val="32"/>
          <w:szCs w:val="32"/>
        </w:rPr>
        <w:t>。</w:t>
      </w:r>
      <w:r>
        <w:rPr>
          <w:rFonts w:ascii="仿宋_GB2312" w:eastAsia="仿宋_GB2312"/>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教育（类）进修及培训（款）培训支出（项）：指</w:t>
      </w:r>
      <w:r>
        <w:rPr>
          <w:rFonts w:hint="eastAsia" w:ascii="仿宋_GB2312" w:eastAsia="仿宋_GB2312"/>
          <w:color w:val="000000"/>
          <w:sz w:val="32"/>
          <w:szCs w:val="32"/>
          <w:lang w:eastAsia="zh-CN"/>
        </w:rPr>
        <w:t>部门安排的用于培训的支出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科学技术（类）技术研究与开发（款）应用技术研究与开发（项）：指</w:t>
      </w:r>
      <w:r>
        <w:rPr>
          <w:rFonts w:hint="eastAsia" w:ascii="仿宋_GB2312" w:eastAsia="仿宋_GB2312"/>
          <w:color w:val="000000"/>
          <w:sz w:val="32"/>
          <w:szCs w:val="32"/>
          <w:lang w:eastAsia="zh-CN"/>
        </w:rPr>
        <w:t>转拨企业的专项技术开发研究的支出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社会保障和就业（类）行政事业单位离退休（款）事业单位离退休（项）：指</w:t>
      </w:r>
      <w:r>
        <w:rPr>
          <w:rFonts w:hint="eastAsia" w:ascii="仿宋_GB2312" w:eastAsia="仿宋_GB2312"/>
          <w:color w:val="000000"/>
          <w:sz w:val="32"/>
          <w:szCs w:val="32"/>
          <w:lang w:eastAsia="zh-CN"/>
        </w:rPr>
        <w:t>事业单位退休费支出；未归口管理的行政单位离退休（项）：指</w:t>
      </w:r>
      <w:r>
        <w:rPr>
          <w:rStyle w:val="15"/>
          <w:rFonts w:hint="eastAsia" w:ascii="仿宋_GB2312" w:eastAsia="仿宋_GB2312"/>
          <w:b w:val="0"/>
          <w:bCs w:val="0"/>
          <w:color w:val="000000"/>
          <w:sz w:val="32"/>
          <w:szCs w:val="32"/>
        </w:rPr>
        <w:t>行政单位退休费支出</w:t>
      </w:r>
      <w:r>
        <w:rPr>
          <w:rStyle w:val="15"/>
          <w:rFonts w:hint="eastAsia" w:ascii="仿宋_GB2312" w:eastAsia="仿宋_GB2312"/>
          <w:b w:val="0"/>
          <w:bCs w:val="0"/>
          <w:color w:val="000000"/>
          <w:sz w:val="32"/>
          <w:szCs w:val="32"/>
          <w:lang w:eastAsia="zh-CN"/>
        </w:rPr>
        <w:t>；机关事业单位基本养老保险缴费支出（项）：指</w:t>
      </w:r>
      <w:r>
        <w:rPr>
          <w:rStyle w:val="15"/>
          <w:rFonts w:hint="eastAsia" w:ascii="仿宋_GB2312" w:eastAsia="仿宋_GB2312"/>
          <w:b w:val="0"/>
          <w:bCs w:val="0"/>
          <w:color w:val="000000"/>
          <w:sz w:val="32"/>
          <w:szCs w:val="32"/>
        </w:rPr>
        <w:t>机关</w:t>
      </w:r>
      <w:r>
        <w:rPr>
          <w:rStyle w:val="15"/>
          <w:rFonts w:hint="eastAsia" w:ascii="仿宋_GB2312" w:eastAsia="仿宋_GB2312"/>
          <w:b w:val="0"/>
          <w:bCs w:val="0"/>
          <w:color w:val="000000"/>
          <w:sz w:val="32"/>
          <w:szCs w:val="32"/>
          <w:lang w:eastAsia="zh-CN"/>
        </w:rPr>
        <w:t>事业</w:t>
      </w:r>
      <w:r>
        <w:rPr>
          <w:rStyle w:val="15"/>
          <w:rFonts w:hint="eastAsia" w:ascii="仿宋_GB2312" w:eastAsia="仿宋_GB2312"/>
          <w:b w:val="0"/>
          <w:bCs w:val="0"/>
          <w:color w:val="000000"/>
          <w:sz w:val="32"/>
          <w:szCs w:val="32"/>
        </w:rPr>
        <w:t>单位在职职</w:t>
      </w:r>
      <w:r>
        <w:rPr>
          <w:rStyle w:val="15"/>
          <w:rFonts w:hint="eastAsia" w:ascii="仿宋_GB2312" w:eastAsia="仿宋_GB2312"/>
          <w:b w:val="0"/>
          <w:bCs w:val="0"/>
          <w:color w:val="000000"/>
          <w:sz w:val="32"/>
          <w:szCs w:val="32"/>
          <w:lang w:eastAsia="zh-CN"/>
        </w:rPr>
        <w:t>工</w:t>
      </w:r>
      <w:r>
        <w:rPr>
          <w:rStyle w:val="15"/>
          <w:rFonts w:hint="eastAsia" w:ascii="仿宋_GB2312" w:eastAsia="仿宋_GB2312"/>
          <w:b w:val="0"/>
          <w:bCs w:val="0"/>
          <w:color w:val="000000"/>
          <w:sz w:val="32"/>
          <w:szCs w:val="32"/>
        </w:rPr>
        <w:t>缴纳养老保险支出</w:t>
      </w:r>
      <w:r>
        <w:rPr>
          <w:rStyle w:val="15"/>
          <w:rFonts w:hint="eastAsia" w:ascii="仿宋_GB2312" w:eastAsia="仿宋_GB2312"/>
          <w:b w:val="0"/>
          <w:bCs w:val="0"/>
          <w:color w:val="000000"/>
          <w:sz w:val="32"/>
          <w:szCs w:val="32"/>
          <w:lang w:eastAsia="zh-CN"/>
        </w:rPr>
        <w:t>；机关事业单位职业年金缴费支出（项）：指机关事业单位在职职工缴纳职业年金支出；企业改革补助（款）其他企业改革发展补助（项）：指财政用于企业改革发展方面的补助支出；其他社会保障和就业支出（款）其他社会保障和就业支出（项）：指其他用于社会保障和就业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医疗卫生与计划生育（类）行政事业单位医疗（款</w:t>
      </w:r>
      <w:r>
        <w:rPr>
          <w:rFonts w:hint="eastAsia" w:ascii="仿宋_GB2312" w:eastAsia="仿宋_GB2312"/>
          <w:color w:val="000000"/>
          <w:sz w:val="32"/>
          <w:szCs w:val="32"/>
          <w:lang w:eastAsia="zh-CN"/>
        </w:rPr>
        <w:t>）</w:t>
      </w:r>
      <w:r>
        <w:rPr>
          <w:rFonts w:hint="eastAsia" w:ascii="仿宋_GB2312" w:eastAsia="仿宋_GB2312"/>
          <w:color w:val="000000"/>
          <w:sz w:val="32"/>
          <w:szCs w:val="32"/>
        </w:rPr>
        <w:t>行政单位医疗（项）</w:t>
      </w:r>
      <w:r>
        <w:rPr>
          <w:rFonts w:hint="eastAsia" w:ascii="仿宋_GB2312" w:eastAsia="仿宋_GB2312"/>
          <w:color w:val="000000"/>
          <w:sz w:val="32"/>
          <w:szCs w:val="32"/>
          <w:lang w:eastAsia="zh-CN"/>
        </w:rPr>
        <w:t>，事业单位医疗（项），公务员医疗补助（项）</w:t>
      </w:r>
      <w:r>
        <w:rPr>
          <w:rFonts w:hint="eastAsia" w:ascii="仿宋_GB2312" w:eastAsia="仿宋_GB2312"/>
          <w:color w:val="000000"/>
          <w:sz w:val="32"/>
          <w:szCs w:val="32"/>
        </w:rPr>
        <w:t>：指</w:t>
      </w:r>
      <w:r>
        <w:rPr>
          <w:rStyle w:val="15"/>
          <w:rFonts w:hint="eastAsia" w:ascii="仿宋_GB2312" w:eastAsia="仿宋_GB2312"/>
          <w:b w:val="0"/>
          <w:bCs w:val="0"/>
          <w:color w:val="000000"/>
          <w:sz w:val="32"/>
          <w:szCs w:val="32"/>
        </w:rPr>
        <w:t>行政事业单位在职职工、离退休人员的</w:t>
      </w:r>
      <w:r>
        <w:rPr>
          <w:rStyle w:val="15"/>
          <w:rFonts w:hint="eastAsia" w:ascii="仿宋_GB2312" w:eastAsia="仿宋_GB2312"/>
          <w:b w:val="0"/>
          <w:bCs w:val="0"/>
          <w:color w:val="000000"/>
          <w:sz w:val="32"/>
          <w:szCs w:val="32"/>
          <w:lang w:eastAsia="zh-CN"/>
        </w:rPr>
        <w:t>医</w:t>
      </w:r>
      <w:r>
        <w:rPr>
          <w:rStyle w:val="15"/>
          <w:rFonts w:hint="eastAsia" w:ascii="仿宋_GB2312" w:eastAsia="仿宋_GB2312"/>
          <w:b w:val="0"/>
          <w:bCs w:val="0"/>
          <w:color w:val="000000"/>
          <w:sz w:val="32"/>
          <w:szCs w:val="32"/>
        </w:rPr>
        <w:t>疗保险费支出。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资源勘探信息等（类）安全生产监管（款）其他安全生产监管支出（项）：指</w:t>
      </w:r>
      <w:r>
        <w:rPr>
          <w:rFonts w:hint="eastAsia" w:ascii="仿宋_GB2312" w:eastAsia="仿宋_GB2312"/>
          <w:color w:val="000000"/>
          <w:sz w:val="32"/>
          <w:szCs w:val="32"/>
          <w:lang w:eastAsia="zh-CN"/>
        </w:rPr>
        <w:t>其他用于安全生产监管方面的支出；国有资产监管（款）行政运行（项）一般行政管理事务（项）机关服务（项）其他国有资产监管支出（项）：</w:t>
      </w:r>
      <w:r>
        <w:rPr>
          <w:rStyle w:val="15"/>
          <w:rFonts w:hint="eastAsia" w:ascii="仿宋_GB2312" w:eastAsia="仿宋_GB2312"/>
          <w:b w:val="0"/>
          <w:bCs w:val="0"/>
          <w:color w:val="000000"/>
          <w:sz w:val="32"/>
          <w:szCs w:val="32"/>
        </w:rPr>
        <w:t>指为保障机关正常运行所开支的“三公”经费、差旅费、办公用房</w:t>
      </w:r>
      <w:r>
        <w:rPr>
          <w:rStyle w:val="15"/>
          <w:rFonts w:hint="eastAsia" w:ascii="仿宋_GB2312" w:eastAsia="仿宋_GB2312"/>
          <w:b w:val="0"/>
          <w:bCs w:val="0"/>
          <w:color w:val="000000"/>
          <w:sz w:val="32"/>
          <w:szCs w:val="32"/>
          <w:lang w:eastAsia="zh-CN"/>
        </w:rPr>
        <w:t>租赁</w:t>
      </w:r>
      <w:r>
        <w:rPr>
          <w:rStyle w:val="15"/>
          <w:rFonts w:hint="eastAsia" w:ascii="仿宋_GB2312" w:eastAsia="仿宋_GB2312"/>
          <w:b w:val="0"/>
          <w:bCs w:val="0"/>
          <w:color w:val="000000"/>
          <w:sz w:val="32"/>
          <w:szCs w:val="32"/>
        </w:rPr>
        <w:t>费、会议费、维修维护费、物业管理费等支出。</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住房保障（类）住房改革支出（款）住房公积金（项）</w:t>
      </w:r>
      <w:r>
        <w:rPr>
          <w:rFonts w:hint="eastAsia" w:ascii="仿宋_GB2312" w:eastAsia="仿宋_GB2312"/>
          <w:color w:val="000000"/>
          <w:sz w:val="32"/>
          <w:szCs w:val="32"/>
          <w:lang w:eastAsia="zh-CN"/>
        </w:rPr>
        <w:t>：指</w:t>
      </w:r>
      <w:r>
        <w:rPr>
          <w:rStyle w:val="15"/>
          <w:rFonts w:hint="eastAsia" w:ascii="仿宋_GB2312" w:eastAsia="仿宋_GB2312"/>
          <w:b w:val="0"/>
          <w:bCs w:val="0"/>
          <w:color w:val="000000"/>
          <w:sz w:val="32"/>
          <w:szCs w:val="32"/>
        </w:rPr>
        <w:t>按规定比例为职工缴纳的住房公积金</w:t>
      </w:r>
      <w:r>
        <w:rPr>
          <w:rStyle w:val="15"/>
          <w:rFonts w:hint="eastAsia" w:ascii="仿宋_GB2312" w:eastAsia="仿宋_GB2312"/>
          <w:b w:val="0"/>
          <w:bCs w:val="0"/>
          <w:color w:val="000000"/>
          <w:sz w:val="32"/>
          <w:szCs w:val="32"/>
          <w:lang w:eastAsia="zh-CN"/>
        </w:rPr>
        <w:t>；</w:t>
      </w:r>
      <w:r>
        <w:rPr>
          <w:rFonts w:hint="eastAsia" w:ascii="仿宋_GB2312" w:eastAsia="仿宋_GB2312"/>
          <w:color w:val="000000"/>
          <w:sz w:val="32"/>
          <w:szCs w:val="32"/>
        </w:rPr>
        <w:t>购房补贴</w:t>
      </w:r>
      <w:r>
        <w:rPr>
          <w:rFonts w:hint="eastAsia" w:ascii="仿宋_GB2312" w:eastAsia="仿宋_GB2312"/>
          <w:color w:val="000000"/>
          <w:sz w:val="32"/>
          <w:szCs w:val="32"/>
          <w:lang w:eastAsia="zh-CN"/>
        </w:rPr>
        <w:t>（项）：</w:t>
      </w:r>
      <w:r>
        <w:rPr>
          <w:rStyle w:val="15"/>
          <w:rFonts w:hint="eastAsia" w:ascii="仿宋_GB2312" w:eastAsia="仿宋_GB2312"/>
          <w:b w:val="0"/>
          <w:bCs w:val="0"/>
          <w:color w:val="000000"/>
          <w:sz w:val="32"/>
          <w:szCs w:val="32"/>
        </w:rPr>
        <w:t>指按房改政策规定，为单位符合条件职工发放的用于购买住房的补贴</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7"/>
          <w:rFonts w:ascii="黑体" w:hAnsi="黑体" w:eastAsia="黑体"/>
          <w:b w:val="0"/>
        </w:rPr>
      </w:pPr>
      <w:bookmarkStart w:id="61" w:name="_Toc15377226"/>
      <w:r>
        <w:rPr>
          <w:rFonts w:ascii="宋体"/>
          <w:b/>
          <w:color w:val="000000"/>
          <w:sz w:val="44"/>
          <w:szCs w:val="44"/>
        </w:rPr>
        <w:br w:type="page"/>
      </w:r>
      <w:bookmarkStart w:id="62" w:name="_Toc15396614"/>
      <w:r>
        <w:rPr>
          <w:rFonts w:hint="eastAsia" w:ascii="黑体" w:hAnsi="黑体" w:eastAsia="黑体"/>
          <w:color w:val="000000"/>
          <w:sz w:val="44"/>
          <w:szCs w:val="44"/>
        </w:rPr>
        <w:t>第</w:t>
      </w:r>
      <w:r>
        <w:rPr>
          <w:rStyle w:val="27"/>
          <w:rFonts w:hint="eastAsia" w:ascii="黑体" w:hAnsi="黑体" w:eastAsia="黑体"/>
          <w:b w:val="0"/>
        </w:rPr>
        <w:t>四部分 附件</w:t>
      </w:r>
      <w:bookmarkEnd w:id="62"/>
    </w:p>
    <w:p>
      <w:pPr>
        <w:spacing w:line="600" w:lineRule="exact"/>
        <w:jc w:val="center"/>
        <w:outlineLvl w:val="0"/>
        <w:rPr>
          <w:rStyle w:val="27"/>
        </w:rPr>
      </w:pPr>
    </w:p>
    <w:p>
      <w:pPr>
        <w:pStyle w:val="4"/>
        <w:rPr>
          <w:rStyle w:val="27"/>
          <w:rFonts w:ascii="仿宋" w:hAnsi="仿宋" w:eastAsia="仿宋"/>
          <w:b w:val="0"/>
          <w:bCs w:val="0"/>
          <w:sz w:val="32"/>
          <w:szCs w:val="32"/>
        </w:rPr>
      </w:pPr>
      <w:bookmarkStart w:id="63" w:name="_Toc15396615"/>
      <w:r>
        <w:rPr>
          <w:rStyle w:val="27"/>
          <w:rFonts w:hint="eastAsia" w:ascii="仿宋" w:hAnsi="仿宋" w:eastAsia="仿宋"/>
          <w:b w:val="0"/>
          <w:bCs w:val="0"/>
          <w:sz w:val="32"/>
          <w:szCs w:val="32"/>
        </w:rPr>
        <w:t>附件</w:t>
      </w:r>
      <w:bookmarkEnd w:id="63"/>
    </w:p>
    <w:p>
      <w:pPr>
        <w:spacing w:line="600" w:lineRule="exact"/>
        <w:jc w:val="center"/>
        <w:outlineLvl w:val="0"/>
        <w:rPr>
          <w:rFonts w:ascii="黑体" w:hAnsi="黑体" w:eastAsia="黑体" w:cs="方正小标宋简体"/>
          <w:sz w:val="36"/>
          <w:szCs w:val="36"/>
        </w:rPr>
      </w:pPr>
      <w:bookmarkStart w:id="64" w:name="_Toc15396616"/>
      <w:r>
        <w:rPr>
          <w:rFonts w:hint="eastAsia" w:ascii="黑体" w:hAnsi="黑体" w:eastAsia="黑体" w:cs="方正小标宋简体"/>
          <w:sz w:val="36"/>
          <w:szCs w:val="36"/>
          <w:lang w:eastAsia="zh-CN"/>
        </w:rPr>
        <w:t>省国资委</w:t>
      </w:r>
      <w:r>
        <w:rPr>
          <w:rFonts w:hint="eastAsia" w:ascii="黑体" w:hAnsi="黑体" w:eastAsia="黑体" w:cs="方正小标宋简体"/>
          <w:sz w:val="36"/>
          <w:szCs w:val="36"/>
        </w:rPr>
        <w:t>2018年部门整体支出绩效评价报告</w:t>
      </w:r>
      <w:bookmarkEnd w:id="64"/>
    </w:p>
    <w:p>
      <w:pPr>
        <w:spacing w:line="580" w:lineRule="exact"/>
        <w:ind w:firstLine="640" w:firstLineChars="200"/>
        <w:rPr>
          <w:rFonts w:ascii="黑体" w:hAnsi="黑体" w:eastAsia="黑体" w:cs="黑体"/>
          <w:sz w:val="32"/>
          <w:szCs w:val="32"/>
        </w:rPr>
      </w:pPr>
    </w:p>
    <w:p>
      <w:pPr>
        <w:pStyle w:val="13"/>
        <w:shd w:val="clear" w:color="auto" w:fill="FFFFFF"/>
        <w:spacing w:before="0" w:beforeAutospacing="0" w:after="0" w:afterAutospacing="0" w:line="570" w:lineRule="exact"/>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一、部门概况</w:t>
      </w:r>
    </w:p>
    <w:p>
      <w:pPr>
        <w:spacing w:line="57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（一）机构组成。</w:t>
      </w:r>
      <w:r>
        <w:rPr>
          <w:rFonts w:hint="eastAsia" w:ascii="Times New Roman" w:hAnsi="Times New Roman" w:eastAsia="仿宋_GB2312"/>
          <w:sz w:val="32"/>
          <w:szCs w:val="32"/>
        </w:rPr>
        <w:t>省国资委</w:t>
      </w:r>
      <w:r>
        <w:rPr>
          <w:rFonts w:hint="eastAsia" w:ascii="Times New Roman" w:hAnsi="Times New Roman" w:eastAsia="仿宋_GB2312"/>
          <w:sz w:val="32"/>
          <w:szCs w:val="32"/>
          <w:lang w:eastAsia="zh-CN"/>
        </w:rPr>
        <w:t>下属</w:t>
      </w:r>
      <w:r>
        <w:rPr>
          <w:rFonts w:hint="eastAsia" w:ascii="Times New Roman" w:hAnsi="Times New Roman" w:eastAsia="仿宋_GB2312"/>
          <w:sz w:val="32"/>
          <w:szCs w:val="32"/>
        </w:rPr>
        <w:t>二级预算单位</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个，其中行政单位</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个</w:t>
      </w:r>
      <w:r>
        <w:rPr>
          <w:rFonts w:hint="eastAsia" w:ascii="Times New Roman" w:hAnsi="Times New Roman" w:eastAsia="仿宋_GB2312"/>
          <w:sz w:val="32"/>
          <w:szCs w:val="32"/>
          <w:lang w:eastAsia="zh-CN"/>
        </w:rPr>
        <w:t>省国资委机关</w:t>
      </w:r>
      <w:r>
        <w:rPr>
          <w:rFonts w:hint="eastAsia" w:ascii="Times New Roman" w:hAnsi="Times New Roman" w:eastAsia="仿宋_GB2312"/>
          <w:sz w:val="32"/>
          <w:szCs w:val="32"/>
        </w:rPr>
        <w:t>，其他事业单位</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个</w:t>
      </w:r>
      <w:r>
        <w:rPr>
          <w:rFonts w:hint="eastAsia" w:ascii="Times New Roman" w:hAnsi="Times New Roman" w:eastAsia="仿宋_GB2312"/>
          <w:sz w:val="32"/>
          <w:szCs w:val="32"/>
          <w:lang w:eastAsia="zh-CN"/>
        </w:rPr>
        <w:t>省国资委机关服务中心。根据《四川省机构改革方案》有关规定，监事会职责划入省审计厅，不再保留监事会。</w:t>
      </w:r>
    </w:p>
    <w:p>
      <w:pPr>
        <w:spacing w:line="570" w:lineRule="exact"/>
        <w:ind w:firstLine="643" w:firstLineChars="200"/>
        <w:rPr>
          <w:rFonts w:hint="eastAsia" w:ascii="Times New Roman" w:hAnsi="Times New Roman" w:eastAsia="仿宋_GB2312"/>
          <w:sz w:val="32"/>
          <w:szCs w:val="32"/>
          <w:lang w:eastAsia="zh-CN"/>
        </w:rPr>
      </w:pPr>
      <w:r>
        <w:rPr>
          <w:rFonts w:hint="eastAsia" w:ascii="Times New Roman" w:hAnsi="Times New Roman" w:eastAsia="楷体_GB2312"/>
          <w:b/>
          <w:color w:val="000000"/>
          <w:sz w:val="32"/>
          <w:szCs w:val="32"/>
        </w:rPr>
        <w:t>（二）机构</w:t>
      </w:r>
      <w:r>
        <w:rPr>
          <w:rFonts w:hint="eastAsia" w:ascii="Times New Roman" w:hAnsi="Times New Roman" w:eastAsia="楷体_GB2312"/>
          <w:b/>
          <w:sz w:val="32"/>
          <w:szCs w:val="32"/>
        </w:rPr>
        <w:t>职能</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四川省国资委基本职责为根据省政府授权，依照《中华人民共和国公司法》、《中华人民共和国企业国有资产法》等法律和行政法规履行出资人职责，监管省属企业的国有资产，加强国有资产的管理工作。研究拟订国有资产管理的地方性法规、规章草案，制定或拟订有关制度，依法对市（州）国有资产管理进行指导。承担监督所监管企业国有资产保值增值的责任，建立和完善国有资产保值增值指标体系，制定考核标准，通过统计、稽核对所监管企业国有资产的保值增值情况进行监管，负责所监管企业工资分配管理工作，制定所监管企业负责人收入分配政策并组织实施。指导推进国有企业改革和重组，推进国有企业的现代企业制度建设，完善公司治理结构，推动国有经济布局和结构的战略性调整。</w:t>
      </w:r>
    </w:p>
    <w:p>
      <w:pPr>
        <w:pStyle w:val="13"/>
        <w:shd w:val="clear" w:color="auto" w:fill="FFFFFF"/>
        <w:spacing w:before="0" w:beforeAutospacing="0" w:after="0" w:afterAutospacing="0" w:line="570" w:lineRule="exact"/>
        <w:ind w:firstLine="639" w:firstLineChars="199"/>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（三）人员概况。</w:t>
      </w:r>
      <w:r>
        <w:rPr>
          <w:rFonts w:hint="eastAsia" w:ascii="Times New Roman" w:hAnsi="Times New Roman" w:eastAsia="仿宋_GB2312" w:cs="Times New Roman"/>
          <w:sz w:val="32"/>
          <w:szCs w:val="32"/>
        </w:rPr>
        <w:t>年末实有在职人员</w:t>
      </w:r>
      <w:r>
        <w:rPr>
          <w:rFonts w:hint="eastAsia" w:ascii="Times New Roman" w:hAnsi="Times New Roman" w:eastAsia="仿宋_GB2312" w:cs="Times New Roman"/>
          <w:sz w:val="32"/>
          <w:szCs w:val="32"/>
          <w:lang w:val="en-US" w:eastAsia="zh-CN"/>
        </w:rPr>
        <w:t>121</w:t>
      </w:r>
      <w:r>
        <w:rPr>
          <w:rFonts w:hint="eastAsia" w:ascii="Times New Roman" w:hAnsi="Times New Roman" w:eastAsia="仿宋_GB2312" w:cs="Times New Roman"/>
          <w:sz w:val="32"/>
          <w:szCs w:val="32"/>
        </w:rPr>
        <w:t>人，其中：行政</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09</w:t>
      </w:r>
      <w:r>
        <w:rPr>
          <w:rFonts w:hint="eastAsia" w:ascii="Times New Roman" w:hAnsi="Times New Roman" w:eastAsia="仿宋_GB2312" w:cs="Times New Roman"/>
          <w:sz w:val="32"/>
          <w:szCs w:val="32"/>
        </w:rPr>
        <w:t>人，事业</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人。</w:t>
      </w:r>
    </w:p>
    <w:p>
      <w:pPr>
        <w:pStyle w:val="13"/>
        <w:shd w:val="clear" w:color="auto" w:fill="FFFFFF"/>
        <w:spacing w:before="0" w:beforeAutospacing="0" w:after="0" w:afterAutospacing="0" w:line="570" w:lineRule="exact"/>
        <w:ind w:firstLine="797" w:firstLineChars="248"/>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w:t>
      </w:r>
      <w:r>
        <w:rPr>
          <w:rFonts w:hint="eastAsia" w:ascii="Times New Roman" w:hAnsi="Times New Roman" w:eastAsia="黑体" w:cs="Times New Roman"/>
          <w:sz w:val="32"/>
          <w:szCs w:val="32"/>
        </w:rPr>
        <w:t>部门财政资金收支情况</w:t>
      </w:r>
    </w:p>
    <w:p>
      <w:pPr>
        <w:snapToGrid w:val="0"/>
        <w:spacing w:line="570" w:lineRule="exact"/>
        <w:ind w:firstLine="803" w:firstLineChars="250"/>
        <w:rPr>
          <w:rFonts w:ascii="Times New Roman" w:hAnsi="Times New Roman" w:eastAsia="楷体_GB2312"/>
          <w:b/>
          <w:sz w:val="32"/>
          <w:szCs w:val="32"/>
        </w:rPr>
      </w:pPr>
      <w:r>
        <w:rPr>
          <w:rFonts w:ascii="Times New Roman" w:hAnsi="Times New Roman" w:eastAsia="楷体_GB2312"/>
          <w:b/>
          <w:sz w:val="32"/>
          <w:szCs w:val="32"/>
        </w:rPr>
        <w:t>(</w:t>
      </w:r>
      <w:r>
        <w:rPr>
          <w:rFonts w:hint="eastAsia" w:ascii="Times New Roman" w:hAnsi="Times New Roman" w:eastAsia="楷体_GB2312"/>
          <w:b/>
          <w:sz w:val="32"/>
          <w:szCs w:val="32"/>
        </w:rPr>
        <w:t>一</w:t>
      </w:r>
      <w:r>
        <w:rPr>
          <w:rFonts w:ascii="Times New Roman" w:hAnsi="Times New Roman" w:eastAsia="楷体_GB2312"/>
          <w:b/>
          <w:sz w:val="32"/>
          <w:szCs w:val="32"/>
        </w:rPr>
        <w:t>)</w:t>
      </w:r>
      <w:r>
        <w:rPr>
          <w:rFonts w:hint="eastAsia" w:ascii="Times New Roman" w:hAnsi="Times New Roman" w:eastAsia="楷体_GB2312"/>
          <w:b/>
          <w:sz w:val="32"/>
          <w:szCs w:val="32"/>
        </w:rPr>
        <w:t>部门财政资金收入情况</w:t>
      </w:r>
    </w:p>
    <w:p>
      <w:pPr>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2018年本部门财政预算总指标</w:t>
      </w:r>
      <w:r>
        <w:rPr>
          <w:rFonts w:hint="eastAsia" w:ascii="Times New Roman" w:hAnsi="Times New Roman" w:eastAsia="仿宋_GB2312"/>
          <w:sz w:val="32"/>
          <w:szCs w:val="32"/>
          <w:lang w:val="en-US" w:eastAsia="zh-CN"/>
        </w:rPr>
        <w:t>10716.40</w:t>
      </w:r>
      <w:r>
        <w:rPr>
          <w:rFonts w:hint="eastAsia" w:ascii="Times New Roman" w:hAnsi="Times New Roman" w:eastAsia="仿宋_GB2312"/>
          <w:sz w:val="32"/>
          <w:szCs w:val="32"/>
        </w:rPr>
        <w:t>万元，实际支出</w:t>
      </w:r>
      <w:r>
        <w:rPr>
          <w:rFonts w:hint="eastAsia" w:ascii="Times New Roman" w:hAnsi="Times New Roman" w:eastAsia="仿宋_GB2312"/>
          <w:sz w:val="32"/>
          <w:szCs w:val="32"/>
          <w:lang w:val="en-US" w:eastAsia="zh-CN"/>
        </w:rPr>
        <w:t>10412.38</w:t>
      </w:r>
      <w:r>
        <w:rPr>
          <w:rFonts w:hint="eastAsia" w:ascii="Times New Roman" w:hAnsi="Times New Roman" w:eastAsia="仿宋_GB2312"/>
          <w:sz w:val="32"/>
          <w:szCs w:val="32"/>
        </w:rPr>
        <w:t>万元，年初预算</w:t>
      </w:r>
      <w:r>
        <w:rPr>
          <w:rFonts w:hint="eastAsia" w:ascii="Times New Roman" w:hAnsi="Times New Roman" w:eastAsia="仿宋_GB2312"/>
          <w:sz w:val="32"/>
          <w:szCs w:val="32"/>
          <w:lang w:val="en-US" w:eastAsia="zh-CN"/>
        </w:rPr>
        <w:t>8181.39</w:t>
      </w:r>
      <w:r>
        <w:rPr>
          <w:rFonts w:hint="eastAsia" w:ascii="Times New Roman" w:hAnsi="Times New Roman" w:eastAsia="仿宋_GB2312"/>
          <w:sz w:val="32"/>
          <w:szCs w:val="32"/>
        </w:rPr>
        <w:t>万元，调整预算</w:t>
      </w:r>
      <w:r>
        <w:rPr>
          <w:rFonts w:hint="eastAsia" w:ascii="Times New Roman" w:hAnsi="Times New Roman" w:eastAsia="仿宋_GB2312"/>
          <w:sz w:val="32"/>
          <w:szCs w:val="32"/>
          <w:lang w:val="en-US" w:eastAsia="zh-CN"/>
        </w:rPr>
        <w:t>10716.40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，实际</w:t>
      </w:r>
      <w:r>
        <w:rPr>
          <w:rFonts w:hint="eastAsia" w:ascii="Times New Roman" w:hAnsi="Times New Roman" w:eastAsia="仿宋_GB2312"/>
          <w:sz w:val="32"/>
          <w:szCs w:val="32"/>
        </w:rPr>
        <w:t>支出超年初预算2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30.99万元，实际支出比上年</w:t>
      </w:r>
      <w:r>
        <w:rPr>
          <w:rFonts w:hint="eastAsia" w:ascii="Times New Roman" w:hAnsi="Times New Roman" w:eastAsia="仿宋_GB2312"/>
          <w:sz w:val="32"/>
          <w:szCs w:val="32"/>
          <w:lang w:eastAsia="zh-CN"/>
        </w:rPr>
        <w:t>减少</w:t>
      </w:r>
      <w:r>
        <w:rPr>
          <w:rFonts w:hint="eastAsia" w:ascii="Times New Roman" w:hAnsi="Times New Roman" w:eastAsia="仿宋_GB2312"/>
          <w:sz w:val="32"/>
          <w:szCs w:val="32"/>
          <w:lang w:val="en-US" w:eastAsia="zh-CN"/>
        </w:rPr>
        <w:t>156.04</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减</w:t>
      </w:r>
      <w:r>
        <w:rPr>
          <w:rFonts w:hint="eastAsia" w:ascii="Times New Roman" w:hAnsi="Times New Roman" w:eastAsia="仿宋_GB2312"/>
          <w:sz w:val="32"/>
          <w:szCs w:val="32"/>
        </w:rPr>
        <w:t>幅达</w:t>
      </w:r>
      <w:r>
        <w:rPr>
          <w:rFonts w:hint="eastAsia" w:ascii="Times New Roman" w:hAnsi="Times New Roman" w:eastAsia="仿宋_GB2312"/>
          <w:sz w:val="32"/>
          <w:szCs w:val="32"/>
          <w:lang w:val="en-US" w:eastAsia="zh-CN"/>
        </w:rPr>
        <w:t>1.48</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，减少</w:t>
      </w:r>
      <w:r>
        <w:rPr>
          <w:rFonts w:hint="eastAsia" w:ascii="Times New Roman" w:hAnsi="Times New Roman" w:eastAsia="仿宋_GB2312"/>
          <w:sz w:val="32"/>
          <w:szCs w:val="32"/>
        </w:rPr>
        <w:t>的主要原因是2018年“一带一路”省属企业西博会参展活动经费</w:t>
      </w:r>
      <w:r>
        <w:rPr>
          <w:rFonts w:hint="eastAsia" w:ascii="Times New Roman" w:hAnsi="Times New Roman" w:eastAsia="仿宋_GB2312"/>
          <w:sz w:val="32"/>
          <w:szCs w:val="32"/>
          <w:lang w:eastAsia="zh-CN"/>
        </w:rPr>
        <w:t>当年在往来资金中结算</w:t>
      </w:r>
      <w:r>
        <w:rPr>
          <w:rFonts w:hint="eastAsia" w:ascii="Times New Roman" w:hAnsi="Times New Roman" w:eastAsia="仿宋_GB2312"/>
          <w:sz w:val="32"/>
          <w:szCs w:val="32"/>
        </w:rPr>
        <w:t>，因业务需要以及在工作中实际遇到一些年初不可遇见的情况，预算年度执行中将地方企业国有资产统计报告经费38.56万元分别调整为培训费24万元，会议费14.56万元，将企业产权登记管理工作经费22.5万元调整为劳务费22.5万元，将企业领导人干部档案建设经费20万元分别调整为劳务费10万元，设备购置经费10万元，将信息化建设及运行维护经费48万元调整为监事会机改经济补偿48万元。</w:t>
      </w:r>
    </w:p>
    <w:p>
      <w:pPr>
        <w:pStyle w:val="26"/>
        <w:numPr>
          <w:ilvl w:val="0"/>
          <w:numId w:val="9"/>
        </w:numPr>
        <w:snapToGrid w:val="0"/>
        <w:spacing w:line="570" w:lineRule="exact"/>
        <w:ind w:firstLineChars="0"/>
        <w:rPr>
          <w:rFonts w:ascii="Times New Roman" w:hAnsi="Times New Roman" w:eastAsia="楷体_GB2312"/>
          <w:b/>
          <w:sz w:val="32"/>
          <w:szCs w:val="32"/>
        </w:rPr>
      </w:pPr>
      <w:r>
        <w:rPr>
          <w:rFonts w:hint="eastAsia" w:ascii="Times New Roman" w:hAnsi="Times New Roman" w:eastAsia="楷体_GB2312"/>
          <w:b/>
          <w:sz w:val="32"/>
          <w:szCs w:val="32"/>
        </w:rPr>
        <w:t>部门财政资金支出情况</w:t>
      </w:r>
    </w:p>
    <w:p>
      <w:pPr>
        <w:snapToGrid w:val="0"/>
        <w:spacing w:line="600" w:lineRule="exact"/>
        <w:ind w:firstLine="640" w:firstLineChars="200"/>
        <w:rPr>
          <w:rFonts w:eastAsia="仿宋_GB2312"/>
          <w:b/>
          <w:bCs/>
          <w:sz w:val="32"/>
          <w:szCs w:val="32"/>
        </w:rPr>
      </w:pPr>
      <w:r>
        <w:rPr>
          <w:rFonts w:hint="eastAsia" w:ascii="Times New Roman" w:hAnsi="Times New Roman" w:eastAsia="仿宋_GB2312"/>
          <w:sz w:val="32"/>
          <w:szCs w:val="32"/>
        </w:rPr>
        <w:t>当年财政拨款收入</w:t>
      </w:r>
      <w:r>
        <w:rPr>
          <w:rFonts w:hint="eastAsia" w:ascii="Times New Roman" w:hAnsi="Times New Roman" w:eastAsia="仿宋_GB2312"/>
          <w:sz w:val="32"/>
          <w:szCs w:val="32"/>
          <w:lang w:val="en-US" w:eastAsia="zh-CN"/>
        </w:rPr>
        <w:t>10412.38</w:t>
      </w:r>
      <w:r>
        <w:rPr>
          <w:rFonts w:hint="eastAsia" w:ascii="Times New Roman" w:hAnsi="Times New Roman" w:eastAsia="仿宋_GB2312"/>
          <w:sz w:val="32"/>
          <w:szCs w:val="32"/>
        </w:rPr>
        <w:t>万元，财政拨款实际支出</w:t>
      </w:r>
      <w:r>
        <w:rPr>
          <w:rFonts w:hint="eastAsia" w:ascii="Times New Roman" w:hAnsi="Times New Roman" w:eastAsia="仿宋_GB2312"/>
          <w:sz w:val="32"/>
          <w:szCs w:val="32"/>
          <w:lang w:val="en-US" w:eastAsia="zh-CN"/>
        </w:rPr>
        <w:t>104</w:t>
      </w:r>
      <w:r>
        <w:rPr>
          <w:rFonts w:hint="eastAsia" w:ascii="Times New Roman" w:hAnsi="Times New Roman" w:eastAsia="仿宋_GB2312"/>
          <w:sz w:val="32"/>
          <w:szCs w:val="32"/>
        </w:rPr>
        <w:t>12.38万元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基本预算支出5590.50万元，（其中：人员支出</w:t>
      </w:r>
      <w:r>
        <w:rPr>
          <w:rFonts w:hint="eastAsia" w:ascii="Times New Roman" w:hAnsi="Times New Roman" w:eastAsia="仿宋_GB2312"/>
          <w:sz w:val="32"/>
          <w:szCs w:val="32"/>
          <w:highlight w:val="none"/>
        </w:rPr>
        <w:t>5065.9</w:t>
      </w:r>
      <w:r>
        <w:rPr>
          <w:rFonts w:hint="eastAsia" w:eastAsia="仿宋_GB2312"/>
          <w:sz w:val="32"/>
          <w:szCs w:val="32"/>
          <w:highlight w:val="none"/>
          <w:lang w:val="en-US" w:eastAsia="zh-CN"/>
        </w:rPr>
        <w:t>4</w:t>
      </w:r>
      <w:r>
        <w:rPr>
          <w:rFonts w:hint="eastAsia" w:ascii="Times New Roman" w:hAnsi="Times New Roman" w:eastAsia="仿宋_GB2312"/>
          <w:sz w:val="32"/>
          <w:szCs w:val="32"/>
        </w:rPr>
        <w:t>万元，主要用于转拨企业对个人和家庭的补助、部门在职职工资、社保、绩效资金等，日常公用支出524.56万元，主要用于在职职工外出参加培训、公务交通、日常办公、水、电、气、邮电、报刊等费用）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项目预算支出</w:t>
      </w:r>
      <w:r>
        <w:rPr>
          <w:rFonts w:hint="eastAsia" w:ascii="Times New Roman" w:hAnsi="Times New Roman" w:eastAsia="仿宋_GB2312"/>
          <w:sz w:val="32"/>
          <w:szCs w:val="32"/>
          <w:lang w:val="en-US" w:eastAsia="zh-CN"/>
        </w:rPr>
        <w:t>48</w:t>
      </w:r>
      <w:r>
        <w:rPr>
          <w:rFonts w:hint="eastAsia" w:ascii="Times New Roman" w:hAnsi="Times New Roman" w:eastAsia="仿宋_GB2312"/>
          <w:sz w:val="32"/>
          <w:szCs w:val="32"/>
        </w:rPr>
        <w:t>21.88万元，主要用于企业审计委托、办公用房租赁、办公设备购置、咨询、差旅、“三公”经费等支出。</w:t>
      </w:r>
    </w:p>
    <w:p>
      <w:pPr>
        <w:snapToGrid w:val="0"/>
        <w:spacing w:line="570" w:lineRule="exact"/>
        <w:ind w:firstLine="640" w:firstLineChars="200"/>
        <w:jc w:val="left"/>
        <w:rPr>
          <w:rFonts w:ascii="Times New Roman" w:hAnsi="Times New Roman" w:eastAsia="黑体"/>
          <w:color w:val="000000"/>
          <w:sz w:val="32"/>
          <w:szCs w:val="32"/>
        </w:rPr>
      </w:pPr>
      <w:r>
        <w:rPr>
          <w:rFonts w:hint="eastAsia" w:ascii="Times New Roman" w:hAnsi="Times New Roman" w:eastAsia="黑体"/>
          <w:sz w:val="32"/>
          <w:szCs w:val="32"/>
        </w:rPr>
        <w:t>三、</w:t>
      </w:r>
      <w:r>
        <w:rPr>
          <w:rFonts w:hint="eastAsia" w:ascii="Times New Roman" w:hAnsi="Times New Roman" w:eastAsia="黑体"/>
          <w:color w:val="000000"/>
          <w:sz w:val="32"/>
          <w:szCs w:val="32"/>
        </w:rPr>
        <w:t>部门</w:t>
      </w:r>
      <w:r>
        <w:rPr>
          <w:rFonts w:hint="eastAsia" w:ascii="Times New Roman" w:hAnsi="Times New Roman" w:eastAsia="黑体"/>
          <w:color w:val="000000"/>
          <w:sz w:val="32"/>
          <w:szCs w:val="32"/>
          <w:lang w:eastAsia="zh-CN"/>
        </w:rPr>
        <w:t>整体预算绩效管理</w:t>
      </w:r>
      <w:r>
        <w:rPr>
          <w:rFonts w:hint="eastAsia" w:ascii="Times New Roman" w:hAnsi="Times New Roman" w:eastAsia="黑体"/>
          <w:color w:val="000000"/>
          <w:sz w:val="32"/>
          <w:szCs w:val="32"/>
        </w:rPr>
        <w:t>情况</w:t>
      </w:r>
    </w:p>
    <w:p>
      <w:pPr>
        <w:snapToGrid w:val="0"/>
        <w:spacing w:line="570" w:lineRule="exact"/>
        <w:ind w:firstLine="643" w:firstLineChars="200"/>
        <w:jc w:val="left"/>
        <w:rPr>
          <w:rFonts w:ascii="Times New Roman" w:hAnsi="Times New Roman" w:eastAsia="楷体_GB2312"/>
          <w:b/>
          <w:sz w:val="32"/>
          <w:szCs w:val="32"/>
        </w:rPr>
      </w:pPr>
      <w:r>
        <w:rPr>
          <w:rFonts w:hint="eastAsia" w:ascii="Times New Roman" w:hAnsi="Times New Roman" w:eastAsia="楷体_GB2312"/>
          <w:b/>
          <w:color w:val="000000"/>
          <w:sz w:val="32"/>
          <w:szCs w:val="32"/>
        </w:rPr>
        <w:t>（一）部门</w:t>
      </w:r>
      <w:r>
        <w:rPr>
          <w:rFonts w:hint="eastAsia" w:ascii="Times New Roman" w:hAnsi="Times New Roman" w:eastAsia="楷体_GB2312"/>
          <w:b/>
          <w:color w:val="000000"/>
          <w:sz w:val="32"/>
          <w:szCs w:val="32"/>
          <w:lang w:eastAsia="zh-CN"/>
        </w:rPr>
        <w:t>预算管理</w:t>
      </w:r>
      <w:r>
        <w:rPr>
          <w:rFonts w:ascii="Times New Roman" w:hAnsi="Times New Roman" w:eastAsia="楷体_GB2312"/>
          <w:b/>
          <w:color w:val="000000"/>
          <w:sz w:val="32"/>
          <w:szCs w:val="32"/>
        </w:rPr>
        <w:t xml:space="preserve"> </w:t>
      </w:r>
    </w:p>
    <w:p>
      <w:pPr>
        <w:snapToGrid w:val="0"/>
        <w:spacing w:line="60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部门绩效目标编制要素不够完整，指标需进一步细化量化。</w:t>
      </w:r>
    </w:p>
    <w:p>
      <w:pPr>
        <w:snapToGrid w:val="0"/>
        <w:spacing w:line="60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项目实际完成情况基本达到预期绩效目标。</w:t>
      </w:r>
    </w:p>
    <w:p>
      <w:pPr>
        <w:snapToGrid w:val="0"/>
        <w:spacing w:line="60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3.因办公楼搬迁及部分处室开展工作变动，导致预算执行出现偏差</w:t>
      </w:r>
      <w:r>
        <w:rPr>
          <w:rFonts w:hint="eastAsia" w:ascii="Times New Roman" w:hAnsi="Times New Roman" w:eastAsia="仿宋_GB2312" w:cs="Times New Roman"/>
          <w:sz w:val="32"/>
          <w:szCs w:val="32"/>
          <w:lang w:eastAsia="zh-CN"/>
        </w:rPr>
        <w:t>。</w:t>
      </w:r>
    </w:p>
    <w:p>
      <w:pPr>
        <w:snapToGrid w:val="0"/>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部门基本支出中的公用经费、部门项目支出中“办公费、印刷费、水费、电费、物业管理费”年初预算数与决算数进行对比，偏差度为</w:t>
      </w:r>
      <w:r>
        <w:rPr>
          <w:rFonts w:hint="eastAsia" w:ascii="Times New Roman" w:hAnsi="Times New Roman" w:eastAsia="仿宋_GB2312" w:cs="Times New Roman"/>
          <w:sz w:val="32"/>
          <w:szCs w:val="32"/>
          <w:lang w:val="en-US" w:eastAsia="zh-CN"/>
        </w:rPr>
        <w:t>3.64%，实际支出超预算22.91万元，主要为部门项目支出中的“印刷费”，预决算偏差度在10%以内，全省平均水平0.82%。</w:t>
      </w:r>
    </w:p>
    <w:p>
      <w:pPr>
        <w:snapToGrid w:val="0"/>
        <w:spacing w:line="60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cs="Times New Roman"/>
          <w:sz w:val="32"/>
          <w:szCs w:val="32"/>
          <w:lang w:val="en-US" w:eastAsia="zh-CN"/>
        </w:rPr>
        <w:t>5.纪委办案工作经费、国资监管工作劳务费、省属企业年度财务审计、办公房租赁、信息化建设及运行维护费、送温暖资金、困难职工帮扶资金、经济责任审计工作经费等8项预算3512.47万元，实际支出3288.74万元，</w:t>
      </w:r>
      <w:r>
        <w:rPr>
          <w:rFonts w:hint="eastAsia" w:ascii="Times New Roman" w:hAnsi="Times New Roman" w:eastAsia="仿宋_GB2312"/>
          <w:sz w:val="32"/>
          <w:szCs w:val="32"/>
        </w:rPr>
        <w:t>信息化建设及运行维护经费48万元调整为监事会机改经济补偿48万元</w:t>
      </w:r>
      <w:r>
        <w:rPr>
          <w:rFonts w:hint="eastAsia" w:ascii="Times New Roman" w:hAnsi="Times New Roman" w:eastAsia="仿宋_GB2312"/>
          <w:sz w:val="32"/>
          <w:szCs w:val="32"/>
          <w:lang w:eastAsia="zh-CN"/>
        </w:rPr>
        <w:t>，注销</w:t>
      </w:r>
      <w:r>
        <w:rPr>
          <w:rFonts w:hint="eastAsia" w:ascii="Times New Roman" w:hAnsi="Times New Roman" w:eastAsia="仿宋_GB2312"/>
          <w:sz w:val="32"/>
          <w:szCs w:val="32"/>
          <w:lang w:val="en-US" w:eastAsia="zh-CN"/>
        </w:rPr>
        <w:t>175.73万元未纳入预算调整，是因为政府采购节约预算不再进行预算调剂。</w:t>
      </w:r>
    </w:p>
    <w:p>
      <w:pPr>
        <w:snapToGrid w:val="0"/>
        <w:spacing w:line="60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6.6月部门预算执行进度32%，量化指标40%，9月部门预算执行进度66%，量化指标67.5%，11月部门预算执行进度77%，量化指标82.5%。</w:t>
      </w:r>
    </w:p>
    <w:p>
      <w:pPr>
        <w:snapToGrid w:val="0"/>
        <w:spacing w:line="60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7.12月部门预算项目执行进度达到100%。</w:t>
      </w:r>
    </w:p>
    <w:p>
      <w:pPr>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8.审计发现的主要问题是预算编制需细化量化、提高精准度，进一步加强预算执行管理。</w:t>
      </w:r>
    </w:p>
    <w:p>
      <w:pPr>
        <w:pStyle w:val="13"/>
        <w:shd w:val="clear" w:color="auto" w:fill="FFFFFF"/>
        <w:spacing w:before="0" w:beforeAutospacing="0" w:after="0" w:afterAutospacing="0" w:line="570" w:lineRule="exact"/>
        <w:ind w:firstLine="643" w:firstLineChars="200"/>
        <w:rPr>
          <w:rFonts w:hint="eastAsia" w:ascii="Times New Roman" w:hAnsi="Times New Roman" w:eastAsia="楷体_GB2312" w:cs="Times New Roman"/>
          <w:b/>
          <w:color w:val="000000"/>
          <w:sz w:val="32"/>
          <w:szCs w:val="32"/>
          <w:lang w:eastAsia="zh-CN"/>
        </w:rPr>
      </w:pPr>
      <w:r>
        <w:rPr>
          <w:rFonts w:hint="eastAsia" w:ascii="Times New Roman" w:hAnsi="Times New Roman" w:eastAsia="楷体_GB2312" w:cs="Times New Roman"/>
          <w:b/>
          <w:color w:val="000000"/>
          <w:sz w:val="32"/>
          <w:szCs w:val="32"/>
        </w:rPr>
        <w:t>（二）</w:t>
      </w:r>
      <w:r>
        <w:rPr>
          <w:rFonts w:hint="eastAsia" w:ascii="Times New Roman" w:hAnsi="Times New Roman" w:eastAsia="楷体_GB2312" w:cs="Times New Roman"/>
          <w:b/>
          <w:color w:val="000000"/>
          <w:sz w:val="32"/>
          <w:szCs w:val="32"/>
          <w:lang w:eastAsia="zh-CN"/>
        </w:rPr>
        <w:t>专项预算管理</w:t>
      </w:r>
    </w:p>
    <w:p>
      <w:pPr>
        <w:pStyle w:val="13"/>
        <w:shd w:val="clear" w:color="auto" w:fill="FFFFFF"/>
        <w:spacing w:before="0" w:beforeAutospacing="0" w:after="0" w:afterAutospacing="0" w:line="570"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1.专项预算项目设立时经过事前评估，事中监督，事后审计检查。</w:t>
      </w:r>
    </w:p>
    <w:p>
      <w:pPr>
        <w:pStyle w:val="13"/>
        <w:shd w:val="clear" w:color="auto" w:fill="FFFFFF"/>
        <w:spacing w:before="0" w:beforeAutospacing="0" w:after="0" w:afterAutospacing="0" w:line="570"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2.专项项目制定了中长期规划，规划符合省委、省政府重大决策部署和宏观政策规划，项目年度绩效目标与专项中长期规划一致。</w:t>
      </w:r>
    </w:p>
    <w:p>
      <w:pPr>
        <w:pStyle w:val="13"/>
        <w:shd w:val="clear" w:color="auto" w:fill="FFFFFF"/>
        <w:spacing w:before="0" w:beforeAutospacing="0" w:after="0" w:afterAutospacing="0" w:line="570"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3.项目实际完成任务和效果达到规划预期情况。</w:t>
      </w:r>
    </w:p>
    <w:p>
      <w:pPr>
        <w:pStyle w:val="13"/>
        <w:shd w:val="clear" w:color="auto" w:fill="FFFFFF"/>
        <w:spacing w:before="0" w:beforeAutospacing="0" w:after="0" w:afterAutospacing="0" w:line="570"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4.项目分配方法选择科学，分类评价分配程序和过程管理规范。</w:t>
      </w:r>
    </w:p>
    <w:p>
      <w:pPr>
        <w:pStyle w:val="13"/>
        <w:shd w:val="clear" w:color="auto" w:fill="FFFFFF"/>
        <w:spacing w:before="0" w:beforeAutospacing="0" w:after="0" w:afterAutospacing="0" w:line="570"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5.部门按规定时限及时分配专项预算资金。</w:t>
      </w:r>
    </w:p>
    <w:p>
      <w:pPr>
        <w:pStyle w:val="13"/>
        <w:shd w:val="clear" w:color="auto" w:fill="FFFFFF"/>
        <w:spacing w:before="0" w:beforeAutospacing="0" w:after="0" w:afterAutospacing="0" w:line="570"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6.专项资金实际拨付到具体项目（人）。</w:t>
      </w:r>
    </w:p>
    <w:p>
      <w:pPr>
        <w:pStyle w:val="13"/>
        <w:shd w:val="clear" w:color="auto" w:fill="FFFFFF"/>
        <w:spacing w:before="0" w:beforeAutospacing="0" w:after="0" w:afterAutospacing="0" w:line="570"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7.2018年，完成对23户省属企业财务决算审计，业绩考核、工资、专项进行审计检查；完成4户省属企业领导人员任职和离任经济责任审计；解决省属企业职工因老、弱、残、子女入学及遭受意外灾害等出现的家庭生活困难补助；落实省委开展走基层活动部署，春节前慰问长期在野外、井下艰苦环境工作下的企业职工；解决机关聘用14人，食堂聘用25人劳务用工及新闻媒体劳务等用工；纪检案件查办、效能监测等，最大限度保证省属国有企业监管工作顺利推行。</w:t>
      </w:r>
    </w:p>
    <w:p>
      <w:pPr>
        <w:pStyle w:val="13"/>
        <w:shd w:val="clear" w:color="auto" w:fill="FFFFFF"/>
        <w:spacing w:before="0" w:beforeAutospacing="0" w:after="0" w:afterAutospacing="0" w:line="570" w:lineRule="exact"/>
        <w:ind w:firstLine="640" w:firstLineChars="200"/>
        <w:rPr>
          <w:rFonts w:ascii="Times New Roman" w:hAnsi="Times New Roman" w:eastAsia="楷体_GB2312" w:cs="Times New Roman"/>
          <w:b/>
          <w:color w:val="000000"/>
          <w:sz w:val="32"/>
          <w:szCs w:val="32"/>
        </w:rPr>
      </w:pPr>
      <w:r>
        <w:rPr>
          <w:rFonts w:hint="eastAsia" w:ascii="Times New Roman" w:hAnsi="Times New Roman" w:eastAsia="仿宋_GB2312" w:cs="Times New Roman"/>
          <w:kern w:val="2"/>
          <w:sz w:val="32"/>
          <w:szCs w:val="32"/>
          <w:lang w:val="en-US" w:eastAsia="zh-CN" w:bidi="ar-SA"/>
        </w:rPr>
        <w:t>8.</w:t>
      </w:r>
      <w:r>
        <w:rPr>
          <w:rFonts w:hint="eastAsia" w:ascii="Times New Roman" w:hAnsi="Times New Roman" w:eastAsia="仿宋_GB2312"/>
          <w:sz w:val="32"/>
          <w:szCs w:val="32"/>
          <w:lang w:val="en-US" w:eastAsia="zh-CN"/>
        </w:rPr>
        <w:t>审计发现的主要问题是部分专项预算项目启动慢，指标需细化量化。</w:t>
      </w:r>
      <w:r>
        <w:rPr>
          <w:rFonts w:hint="eastAsia" w:ascii="Times New Roman" w:hAnsi="Times New Roman" w:eastAsia="仿宋_GB2312" w:cs="Times New Roman"/>
          <w:kern w:val="2"/>
          <w:sz w:val="32"/>
          <w:szCs w:val="32"/>
          <w:lang w:val="en-US" w:eastAsia="zh-CN" w:bidi="ar-SA"/>
        </w:rPr>
        <w:t xml:space="preserve"> </w:t>
      </w:r>
      <w:r>
        <w:rPr>
          <w:rFonts w:ascii="Times New Roman" w:hAnsi="Times New Roman" w:eastAsia="楷体_GB2312" w:cs="Times New Roman"/>
          <w:b/>
          <w:color w:val="000000"/>
          <w:sz w:val="32"/>
          <w:szCs w:val="32"/>
        </w:rPr>
        <w:t xml:space="preserve">  </w:t>
      </w:r>
    </w:p>
    <w:p>
      <w:pPr>
        <w:shd w:val="clear" w:color="auto" w:fill="FFFFFF"/>
        <w:snapToGrid w:val="0"/>
        <w:spacing w:line="570" w:lineRule="exact"/>
        <w:ind w:firstLine="643" w:firstLineChars="200"/>
        <w:rPr>
          <w:rFonts w:hint="eastAsia" w:ascii="Times New Roman" w:hAnsi="Times New Roman" w:eastAsia="楷体_GB2312"/>
          <w:b/>
          <w:color w:val="000000"/>
          <w:sz w:val="32"/>
          <w:szCs w:val="32"/>
        </w:rPr>
      </w:pPr>
      <w:r>
        <w:rPr>
          <w:rFonts w:hint="eastAsia" w:ascii="Times New Roman" w:hAnsi="Times New Roman" w:eastAsia="楷体_GB2312"/>
          <w:b/>
          <w:color w:val="000000"/>
          <w:sz w:val="32"/>
          <w:szCs w:val="32"/>
        </w:rPr>
        <w:t>（三）结果应用情况</w:t>
      </w:r>
    </w:p>
    <w:p>
      <w:pPr>
        <w:shd w:val="clear" w:color="auto" w:fill="FFFFFF"/>
        <w:snapToGrid w:val="0"/>
        <w:spacing w:line="570"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1.2018年部门绩效目标按要求随同预算向社会公开。</w:t>
      </w:r>
    </w:p>
    <w:p>
      <w:pPr>
        <w:shd w:val="clear" w:color="auto" w:fill="FFFFFF"/>
        <w:snapToGrid w:val="0"/>
        <w:spacing w:line="570"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highlight w:val="none"/>
          <w:lang w:val="en-US" w:eastAsia="zh-CN" w:bidi="ar-SA"/>
        </w:rPr>
        <w:t>201</w:t>
      </w:r>
      <w:r>
        <w:rPr>
          <w:rFonts w:hint="eastAsia" w:eastAsia="仿宋_GB2312" w:cs="Times New Roman"/>
          <w:kern w:val="2"/>
          <w:sz w:val="32"/>
          <w:szCs w:val="32"/>
          <w:highlight w:val="none"/>
          <w:lang w:val="en-US" w:eastAsia="zh-CN" w:bidi="ar-SA"/>
        </w:rPr>
        <w:t>8</w:t>
      </w:r>
      <w:r>
        <w:rPr>
          <w:rFonts w:hint="eastAsia" w:ascii="Times New Roman" w:hAnsi="Times New Roman" w:eastAsia="仿宋_GB2312" w:cs="Times New Roman"/>
          <w:kern w:val="2"/>
          <w:sz w:val="32"/>
          <w:szCs w:val="32"/>
          <w:lang w:val="en-US" w:eastAsia="zh-CN" w:bidi="ar-SA"/>
        </w:rPr>
        <w:t>年部门整体绩效自评情况和自行组织的评价情况按要求随同决算向社会公开。</w:t>
      </w:r>
    </w:p>
    <w:p>
      <w:pPr>
        <w:numPr>
          <w:ilvl w:val="0"/>
          <w:numId w:val="10"/>
        </w:numPr>
        <w:shd w:val="clear" w:color="auto" w:fill="FFFFFF"/>
        <w:snapToGrid w:val="0"/>
        <w:spacing w:line="570"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未涉及绩效管理结果整改。</w:t>
      </w:r>
      <w:bookmarkStart w:id="79" w:name="_GoBack"/>
      <w:bookmarkEnd w:id="79"/>
    </w:p>
    <w:p>
      <w:pPr>
        <w:snapToGrid w:val="0"/>
        <w:spacing w:line="570" w:lineRule="exact"/>
        <w:ind w:firstLine="640" w:firstLineChars="200"/>
        <w:jc w:val="left"/>
        <w:rPr>
          <w:rFonts w:ascii="Times New Roman" w:hAnsi="Times New Roman" w:eastAsia="黑体"/>
          <w:color w:val="000000"/>
          <w:sz w:val="32"/>
          <w:szCs w:val="32"/>
        </w:rPr>
      </w:pPr>
      <w:r>
        <w:rPr>
          <w:rFonts w:hint="eastAsia" w:ascii="Times New Roman" w:hAnsi="Times New Roman" w:eastAsia="黑体"/>
          <w:sz w:val="32"/>
          <w:szCs w:val="32"/>
          <w:lang w:eastAsia="zh-CN"/>
        </w:rPr>
        <w:t>四</w:t>
      </w:r>
      <w:r>
        <w:rPr>
          <w:rFonts w:hint="eastAsia" w:ascii="Times New Roman" w:hAnsi="Times New Roman" w:eastAsia="黑体"/>
          <w:sz w:val="32"/>
          <w:szCs w:val="32"/>
        </w:rPr>
        <w:t>、</w:t>
      </w:r>
      <w:r>
        <w:rPr>
          <w:rFonts w:hint="eastAsia" w:ascii="Times New Roman" w:hAnsi="Times New Roman" w:eastAsia="黑体"/>
          <w:color w:val="000000"/>
          <w:sz w:val="32"/>
          <w:szCs w:val="32"/>
        </w:rPr>
        <w:t>评价结论及建议</w:t>
      </w:r>
    </w:p>
    <w:p>
      <w:pPr>
        <w:pStyle w:val="13"/>
        <w:shd w:val="clear" w:color="auto" w:fill="FFFFFF"/>
        <w:spacing w:before="0" w:beforeAutospacing="0" w:after="0" w:afterAutospacing="0" w:line="570" w:lineRule="exact"/>
        <w:ind w:firstLine="630" w:firstLineChars="196"/>
        <w:rPr>
          <w:rFonts w:ascii="Times New Roman" w:hAnsi="Times New Roman" w:eastAsia="仿宋_GB2312" w:cs="Times New Roman"/>
          <w:color w:val="000000"/>
          <w:sz w:val="32"/>
          <w:szCs w:val="32"/>
        </w:rPr>
      </w:pPr>
      <w:r>
        <w:rPr>
          <w:rFonts w:hint="eastAsia" w:ascii="Times New Roman" w:hAnsi="Times New Roman" w:eastAsia="楷体_GB2312" w:cs="Times New Roman"/>
          <w:b/>
          <w:color w:val="000000"/>
          <w:sz w:val="32"/>
          <w:szCs w:val="32"/>
        </w:rPr>
        <w:t>（一）评价结论</w:t>
      </w:r>
      <w:r>
        <w:rPr>
          <w:rFonts w:ascii="Times New Roman" w:hAnsi="Times New Roman" w:eastAsia="楷体_GB2312" w:cs="Times New Roman"/>
          <w:color w:val="000000"/>
          <w:sz w:val="32"/>
          <w:szCs w:val="32"/>
        </w:rPr>
        <w:t xml:space="preserve"> </w:t>
      </w:r>
      <w:r>
        <w:rPr>
          <w:rFonts w:hint="eastAsia" w:ascii="Times New Roman" w:hAnsi="Times New Roman" w:eastAsia="楷体_GB2312" w:cs="Times New Roman"/>
          <w:color w:val="000000"/>
          <w:sz w:val="32"/>
          <w:szCs w:val="32"/>
        </w:rPr>
        <w:t>。</w:t>
      </w:r>
      <w:r>
        <w:rPr>
          <w:rFonts w:hint="eastAsia" w:ascii="Times New Roman" w:hAnsi="Times New Roman" w:eastAsia="楷体_GB2312" w:cs="Times New Roman"/>
          <w:color w:val="000000"/>
          <w:sz w:val="32"/>
          <w:szCs w:val="32"/>
          <w:lang w:eastAsia="zh-CN"/>
        </w:rPr>
        <w:t>部门整体支出绩效评价得分</w:t>
      </w:r>
      <w:r>
        <w:rPr>
          <w:rFonts w:hint="eastAsia" w:ascii="Times New Roman" w:hAnsi="Times New Roman" w:eastAsia="楷体_GB2312" w:cs="Times New Roman"/>
          <w:color w:val="000000"/>
          <w:sz w:val="32"/>
          <w:szCs w:val="32"/>
          <w:lang w:val="en-US" w:eastAsia="zh-CN"/>
        </w:rPr>
        <w:t>87.15，按百分制换算得分90.78，其中，部门预算管理得分51.85，专项预算管理得分19.3，绩效结果应用得分16，主要扣分因素预算编制不够精准，</w:t>
      </w:r>
      <w:r>
        <w:rPr>
          <w:rFonts w:hint="eastAsia" w:ascii="Times New Roman" w:hAnsi="Times New Roman" w:eastAsia="仿宋_GB2312" w:cs="Times New Roman"/>
          <w:sz w:val="32"/>
          <w:szCs w:val="32"/>
          <w:lang w:eastAsia="zh-CN"/>
        </w:rPr>
        <w:t>绩效目标编制要素不够完整，指标不够细化量化。</w:t>
      </w:r>
    </w:p>
    <w:p>
      <w:pPr>
        <w:pStyle w:val="13"/>
        <w:shd w:val="clear" w:color="auto" w:fill="FFFFFF"/>
        <w:spacing w:before="0" w:beforeAutospacing="0" w:after="0" w:afterAutospacing="0" w:line="570" w:lineRule="exact"/>
        <w:ind w:firstLine="630" w:firstLineChars="196"/>
        <w:rPr>
          <w:rFonts w:ascii="Times New Roman" w:hAnsi="Times New Roman" w:eastAsia="仿宋_GB2312" w:cs="Times New Roman"/>
          <w:color w:val="000000"/>
          <w:sz w:val="32"/>
          <w:szCs w:val="32"/>
        </w:rPr>
      </w:pPr>
      <w:r>
        <w:rPr>
          <w:rFonts w:hint="eastAsia" w:ascii="Times New Roman" w:hAnsi="Times New Roman" w:eastAsia="楷体_GB2312" w:cs="Times New Roman"/>
          <w:b/>
          <w:color w:val="000000"/>
          <w:sz w:val="32"/>
          <w:szCs w:val="32"/>
        </w:rPr>
        <w:t>（二）存在问题</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。一是预算编制不</w:t>
      </w:r>
      <w:r>
        <w:rPr>
          <w:rFonts w:hint="eastAsia" w:ascii="Times New Roman" w:hAnsi="Times New Roman" w:eastAsia="仿宋_GB2312" w:cs="Times New Roman"/>
          <w:color w:val="000000"/>
          <w:sz w:val="32"/>
          <w:szCs w:val="32"/>
          <w:lang w:eastAsia="zh-CN"/>
        </w:rPr>
        <w:t>精准。二是</w:t>
      </w:r>
      <w:r>
        <w:rPr>
          <w:rFonts w:hint="eastAsia" w:ascii="Times New Roman" w:hAnsi="Times New Roman" w:eastAsia="仿宋_GB2312" w:cs="Times New Roman"/>
          <w:color w:val="000000"/>
          <w:sz w:val="32"/>
          <w:szCs w:val="32"/>
        </w:rPr>
        <w:t>资金使用效益有待进一步提高。</w:t>
      </w:r>
      <w:r>
        <w:rPr>
          <w:rFonts w:hint="eastAsia" w:ascii="Times New Roman" w:hAnsi="Times New Roman" w:eastAsia="仿宋_GB2312" w:cs="Times New Roman"/>
          <w:color w:val="000000"/>
          <w:sz w:val="32"/>
          <w:szCs w:val="32"/>
          <w:lang w:eastAsia="zh-CN"/>
        </w:rPr>
        <w:t>三</w:t>
      </w:r>
      <w:r>
        <w:rPr>
          <w:rFonts w:hint="eastAsia" w:ascii="Times New Roman" w:hAnsi="Times New Roman" w:eastAsia="仿宋_GB2312" w:cs="Times New Roman"/>
          <w:color w:val="000000"/>
          <w:sz w:val="32"/>
          <w:szCs w:val="32"/>
        </w:rPr>
        <w:t>是绩效目标</w:t>
      </w:r>
      <w:r>
        <w:rPr>
          <w:rFonts w:hint="eastAsia" w:ascii="Times New Roman" w:hAnsi="Times New Roman" w:eastAsia="仿宋_GB2312" w:cs="Times New Roman"/>
          <w:color w:val="000000"/>
          <w:sz w:val="32"/>
          <w:szCs w:val="32"/>
          <w:lang w:eastAsia="zh-CN"/>
        </w:rPr>
        <w:t>编制</w:t>
      </w:r>
      <w:r>
        <w:rPr>
          <w:rFonts w:hint="eastAsia" w:ascii="Times New Roman" w:hAnsi="Times New Roman" w:eastAsia="仿宋_GB2312" w:cs="Times New Roman"/>
          <w:color w:val="000000"/>
          <w:sz w:val="32"/>
          <w:szCs w:val="32"/>
        </w:rPr>
        <w:t>不够</w:t>
      </w:r>
      <w:r>
        <w:rPr>
          <w:rFonts w:hint="eastAsia" w:ascii="Times New Roman" w:hAnsi="Times New Roman" w:eastAsia="仿宋_GB2312" w:cs="Times New Roman"/>
          <w:color w:val="000000"/>
          <w:sz w:val="32"/>
          <w:szCs w:val="32"/>
          <w:lang w:eastAsia="zh-CN"/>
        </w:rPr>
        <w:t>完整</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指标不够</w:t>
      </w:r>
      <w:r>
        <w:rPr>
          <w:rFonts w:hint="eastAsia" w:ascii="Times New Roman" w:hAnsi="Times New Roman" w:eastAsia="仿宋_GB2312" w:cs="Times New Roman"/>
          <w:color w:val="000000"/>
          <w:sz w:val="32"/>
          <w:szCs w:val="32"/>
        </w:rPr>
        <w:t>细化量化。</w:t>
      </w:r>
      <w:r>
        <w:rPr>
          <w:rFonts w:hint="eastAsia" w:ascii="Times New Roman" w:hAnsi="Times New Roman" w:eastAsia="仿宋_GB2312" w:cs="Times New Roman"/>
          <w:color w:val="000000"/>
          <w:sz w:val="32"/>
          <w:szCs w:val="32"/>
          <w:lang w:eastAsia="zh-CN"/>
        </w:rPr>
        <w:t>四</w:t>
      </w:r>
      <w:r>
        <w:rPr>
          <w:rFonts w:hint="eastAsia" w:ascii="Times New Roman" w:hAnsi="Times New Roman" w:eastAsia="仿宋_GB2312" w:cs="Times New Roman"/>
          <w:color w:val="000000"/>
          <w:sz w:val="32"/>
          <w:szCs w:val="32"/>
        </w:rPr>
        <w:t>是制度建设和规范化管理有待加强。</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outlineLvl w:val="9"/>
        <w:rPr>
          <w:rFonts w:hint="default" w:ascii="Times New Roman" w:hAnsi="Times New Roman" w:eastAsia="仿宋_GB2312" w:cs="Times New Roman"/>
          <w:b w:val="0"/>
          <w:bCs w:val="0"/>
          <w:sz w:val="32"/>
          <w:szCs w:val="32"/>
        </w:rPr>
      </w:pPr>
      <w:r>
        <w:rPr>
          <w:rFonts w:hint="eastAsia" w:ascii="Times New Roman" w:hAnsi="Times New Roman" w:eastAsia="楷体_GB2312" w:cs="Times New Roman"/>
          <w:b/>
          <w:color w:val="000000"/>
          <w:sz w:val="32"/>
          <w:szCs w:val="32"/>
        </w:rPr>
        <w:t>（三）</w:t>
      </w:r>
      <w:r>
        <w:rPr>
          <w:rFonts w:hint="eastAsia" w:ascii="Times New Roman" w:hAnsi="Times New Roman" w:eastAsia="楷体_GB2312" w:cs="Times New Roman"/>
          <w:b/>
          <w:color w:val="000000"/>
          <w:sz w:val="32"/>
          <w:szCs w:val="32"/>
          <w:lang w:eastAsia="zh-CN"/>
        </w:rPr>
        <w:t>改进</w:t>
      </w:r>
      <w:r>
        <w:rPr>
          <w:rFonts w:hint="eastAsia" w:ascii="Times New Roman" w:hAnsi="Times New Roman" w:eastAsia="楷体_GB2312" w:cs="Times New Roman"/>
          <w:b/>
          <w:color w:val="000000"/>
          <w:sz w:val="32"/>
          <w:szCs w:val="32"/>
        </w:rPr>
        <w:t>建议</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b w:val="0"/>
          <w:bCs w:val="0"/>
          <w:sz w:val="32"/>
          <w:szCs w:val="32"/>
        </w:rPr>
        <w:t>在今后的预算编制过程中，合理编制预算，提高预算的科学性和准确性。</w:t>
      </w:r>
      <w:r>
        <w:rPr>
          <w:rFonts w:hint="eastAsia"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 xml:space="preserve"> 积极开展绩效监控、进一步细化中期评估调整项目</w:t>
      </w:r>
      <w:r>
        <w:rPr>
          <w:rFonts w:hint="eastAsia" w:ascii="Times New Roman" w:hAnsi="Times New Roman" w:eastAsia="仿宋_GB2312" w:cs="Times New Roman"/>
          <w:b w:val="0"/>
          <w:bCs w:val="0"/>
          <w:sz w:val="32"/>
          <w:szCs w:val="32"/>
          <w:lang w:eastAsia="zh-CN"/>
        </w:rPr>
        <w:t>，提高资金使用效益</w:t>
      </w: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val="en-US" w:eastAsia="zh-CN"/>
        </w:rPr>
        <w:t>3.</w:t>
      </w:r>
      <w:r>
        <w:rPr>
          <w:rFonts w:hint="eastAsia" w:ascii="Times New Roman" w:hAnsi="Times New Roman" w:eastAsia="仿宋_GB2312" w:cs="Times New Roman"/>
          <w:color w:val="000000"/>
          <w:sz w:val="32"/>
          <w:szCs w:val="32"/>
          <w:lang w:eastAsia="zh-CN"/>
        </w:rPr>
        <w:t>完整编制</w:t>
      </w:r>
      <w:r>
        <w:rPr>
          <w:rFonts w:hint="eastAsia" w:ascii="Times New Roman" w:hAnsi="Times New Roman" w:eastAsia="仿宋_GB2312" w:cs="Times New Roman"/>
          <w:color w:val="000000"/>
          <w:sz w:val="32"/>
          <w:szCs w:val="32"/>
        </w:rPr>
        <w:t>绩效目标</w:t>
      </w:r>
      <w:r>
        <w:rPr>
          <w:rFonts w:hint="eastAsia" w:ascii="Times New Roman" w:hAnsi="Times New Roman" w:eastAsia="仿宋_GB2312" w:cs="Times New Roman"/>
          <w:color w:val="000000"/>
          <w:sz w:val="32"/>
          <w:szCs w:val="32"/>
          <w:lang w:eastAsia="zh-CN"/>
        </w:rPr>
        <w:t>、细化量化指标。</w:t>
      </w:r>
      <w:r>
        <w:rPr>
          <w:rFonts w:hint="eastAsia" w:ascii="Times New Roman" w:hAnsi="Times New Roman" w:eastAsia="仿宋_GB2312" w:cs="Times New Roman"/>
          <w:color w:val="000000"/>
          <w:sz w:val="32"/>
          <w:szCs w:val="32"/>
          <w:lang w:val="en-US" w:eastAsia="zh-CN"/>
        </w:rPr>
        <w:t>4.健全完善制度建设和规范化管理，提高财政资金使用水平和效率。</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hint="eastAsia" w:ascii="Times New Roman" w:hAnsi="Times New Roman" w:eastAsia="仿宋_GB2312"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eastAsia="zh-CN"/>
        </w:rPr>
        <w:t>附件：201</w:t>
      </w:r>
      <w:r>
        <w:rPr>
          <w:rFonts w:hint="eastAsia" w:eastAsia="仿宋_GB2312" w:cs="Times New Roman"/>
          <w:b w:val="0"/>
          <w:bCs w:val="0"/>
          <w:sz w:val="32"/>
          <w:szCs w:val="32"/>
          <w:lang w:val="en-US" w:eastAsia="zh-CN"/>
        </w:rPr>
        <w:t>8</w:t>
      </w:r>
      <w:r>
        <w:rPr>
          <w:rFonts w:hint="eastAsia" w:ascii="Times New Roman" w:hAnsi="Times New Roman" w:eastAsia="仿宋_GB2312" w:cs="Times New Roman"/>
          <w:b w:val="0"/>
          <w:bCs w:val="0"/>
          <w:sz w:val="32"/>
          <w:szCs w:val="32"/>
          <w:lang w:eastAsia="zh-CN"/>
        </w:rPr>
        <w:t>年度省级部门整体支出绩效评价评分表</w:t>
      </w:r>
    </w:p>
    <w:p>
      <w:pPr>
        <w:pStyle w:val="13"/>
        <w:shd w:val="clear" w:color="auto" w:fill="FFFFFF"/>
        <w:spacing w:before="0" w:beforeAutospacing="0" w:after="0" w:afterAutospacing="0" w:line="570" w:lineRule="exact"/>
        <w:ind w:firstLine="627" w:firstLineChars="196"/>
        <w:rPr>
          <w:rFonts w:hint="eastAsia" w:ascii="Times New Roman" w:hAnsi="Times New Roman" w:eastAsia="仿宋_GB2312" w:cs="Times New Roman"/>
          <w:color w:val="000000"/>
          <w:sz w:val="32"/>
          <w:szCs w:val="32"/>
          <w:lang w:eastAsia="zh-CN"/>
        </w:rPr>
      </w:pPr>
    </w:p>
    <w:tbl>
      <w:tblPr>
        <w:tblStyle w:val="18"/>
        <w:tblW w:w="82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43"/>
        <w:gridCol w:w="2313"/>
        <w:gridCol w:w="1962"/>
        <w:gridCol w:w="2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8293" w:type="dxa"/>
            <w:gridSpan w:val="4"/>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201</w:t>
            </w:r>
            <w:r>
              <w:rPr>
                <w:rFonts w:hint="eastAsia" w:ascii="宋体" w:hAnsi="宋体" w:cs="宋体"/>
                <w:b/>
                <w:i w:val="0"/>
                <w:color w:val="000000"/>
                <w:kern w:val="0"/>
                <w:sz w:val="36"/>
                <w:szCs w:val="36"/>
                <w:u w:val="none"/>
                <w:lang w:val="en-US" w:eastAsia="zh-CN" w:bidi="ar"/>
              </w:rPr>
              <w:t>8</w:t>
            </w:r>
            <w:r>
              <w:rPr>
                <w:rFonts w:hint="eastAsia" w:ascii="宋体" w:hAnsi="宋体" w:eastAsia="宋体" w:cs="宋体"/>
                <w:b/>
                <w:i w:val="0"/>
                <w:color w:val="000000"/>
                <w:kern w:val="0"/>
                <w:sz w:val="36"/>
                <w:szCs w:val="36"/>
                <w:u w:val="none"/>
                <w:lang w:val="en-US" w:eastAsia="zh-CN" w:bidi="ar"/>
              </w:rPr>
              <w:t>年度省级部门整体支出绩效评价评分表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0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绩效指标</w:t>
            </w:r>
          </w:p>
        </w:tc>
        <w:tc>
          <w:tcPr>
            <w:tcW w:w="2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5" w:hRule="atLeast"/>
        </w:trPr>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一级指标</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二级指标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三级指标</w:t>
            </w:r>
          </w:p>
        </w:tc>
        <w:tc>
          <w:tcPr>
            <w:tcW w:w="2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7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部门预算管理（60分）</w:t>
            </w:r>
          </w:p>
        </w:tc>
        <w:tc>
          <w:tcPr>
            <w:tcW w:w="2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预算编制（24分）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目标制定</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rPr>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目标完成</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rPr>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编制准确</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预算执行（20分）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支出控制</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动态调整</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rPr>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执行进度</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完成结果（16分）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预算完成</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rPr>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违规记录</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74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专项预算管理（20分）</w:t>
            </w:r>
          </w:p>
        </w:tc>
        <w:tc>
          <w:tcPr>
            <w:tcW w:w="2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项目决策（8分）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程序严密</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7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规划合理</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rPr>
        <w:tc>
          <w:tcPr>
            <w:tcW w:w="17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结果符合</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rPr>
        <w:tc>
          <w:tcPr>
            <w:tcW w:w="17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项目实施（4分）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分配科学</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7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分配及时</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7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完成结果（8分）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预算完成</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7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实施绩效</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rPr>
        <w:tc>
          <w:tcPr>
            <w:tcW w:w="17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违规记录</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rPr>
        <w:tc>
          <w:tcPr>
            <w:tcW w:w="17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绩效结果应用（20分）</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自评质量（4分）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自评准确</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信息公开（8分）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目标公开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自评公开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rPr>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整改反馈（8分）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结果整改</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rPr>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应用反馈</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60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60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按百分制换算得分</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90.78</w:t>
            </w:r>
          </w:p>
        </w:tc>
      </w:tr>
    </w:tbl>
    <w:p>
      <w:pPr>
        <w:pStyle w:val="13"/>
        <w:shd w:val="clear" w:color="auto" w:fill="FFFFFF"/>
        <w:spacing w:before="0" w:beforeAutospacing="0" w:after="0" w:afterAutospacing="0" w:line="570" w:lineRule="exact"/>
        <w:ind w:firstLine="480"/>
        <w:rPr>
          <w:rFonts w:ascii="Times New Roman" w:hAnsi="Times New Roman" w:eastAsia="仿宋_GB2312" w:cs="Times New Roman"/>
          <w:color w:val="000000"/>
          <w:sz w:val="32"/>
          <w:szCs w:val="32"/>
        </w:rPr>
      </w:pPr>
    </w:p>
    <w:p>
      <w:pPr>
        <w:pStyle w:val="13"/>
        <w:shd w:val="clear" w:color="auto" w:fill="FFFFFF"/>
        <w:spacing w:before="0" w:beforeAutospacing="0" w:after="0" w:afterAutospacing="0" w:line="570" w:lineRule="exact"/>
        <w:ind w:firstLine="480"/>
        <w:rPr>
          <w:rFonts w:ascii="Times New Roman" w:hAnsi="Times New Roman" w:eastAsia="仿宋_GB2312" w:cs="Times New Roman"/>
          <w:color w:val="000000"/>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00" w:lineRule="exact"/>
        <w:jc w:val="center"/>
        <w:outlineLvl w:val="0"/>
        <w:rPr>
          <w:rStyle w:val="27"/>
          <w:rFonts w:ascii="黑体" w:hAnsi="黑体" w:eastAsia="黑体"/>
          <w:b w:val="0"/>
        </w:rPr>
      </w:pPr>
      <w:bookmarkStart w:id="65" w:name="_Toc15396618"/>
      <w:r>
        <w:rPr>
          <w:rFonts w:hint="eastAsia" w:ascii="黑体" w:hAnsi="黑体" w:eastAsia="黑体"/>
          <w:color w:val="000000"/>
          <w:sz w:val="44"/>
          <w:szCs w:val="44"/>
        </w:rPr>
        <w:t>第</w:t>
      </w:r>
      <w:r>
        <w:rPr>
          <w:rStyle w:val="27"/>
          <w:rFonts w:hint="eastAsia" w:ascii="黑体" w:hAnsi="黑体" w:eastAsia="黑体"/>
          <w:b w:val="0"/>
        </w:rPr>
        <w:t>五部分 附表</w:t>
      </w:r>
      <w:bookmarkEnd w:id="61"/>
      <w:bookmarkEnd w:id="65"/>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bookmarkStart w:id="66" w:name="_Toc15396619"/>
      <w:r>
        <w:rPr>
          <w:rFonts w:hint="eastAsia" w:ascii="仿宋" w:hAnsi="仿宋" w:eastAsia="仿宋"/>
          <w:b w:val="0"/>
          <w:color w:val="000000"/>
        </w:rPr>
        <w:t>一、收</w:t>
      </w:r>
      <w:r>
        <w:rPr>
          <w:rStyle w:val="28"/>
          <w:rFonts w:hint="eastAsia" w:ascii="仿宋" w:hAnsi="仿宋" w:eastAsia="仿宋"/>
          <w:b w:val="0"/>
          <w:bCs w:val="0"/>
        </w:rPr>
        <w:t>入支出决算总表</w:t>
      </w:r>
      <w:bookmarkEnd w:id="66"/>
    </w:p>
    <w:p>
      <w:pPr>
        <w:pStyle w:val="4"/>
        <w:rPr>
          <w:rFonts w:ascii="仿宋" w:hAnsi="仿宋" w:eastAsia="仿宋"/>
          <w:color w:val="000000"/>
        </w:rPr>
      </w:pPr>
      <w:bookmarkStart w:id="67" w:name="_Toc15396620"/>
      <w:r>
        <w:rPr>
          <w:rFonts w:hint="eastAsia" w:ascii="仿宋" w:hAnsi="仿宋" w:eastAsia="仿宋"/>
          <w:b w:val="0"/>
          <w:color w:val="000000"/>
        </w:rPr>
        <w:t>二、收</w:t>
      </w:r>
      <w:r>
        <w:rPr>
          <w:rStyle w:val="28"/>
          <w:rFonts w:hint="eastAsia" w:ascii="仿宋" w:hAnsi="仿宋" w:eastAsia="仿宋"/>
          <w:b w:val="0"/>
          <w:bCs w:val="0"/>
        </w:rPr>
        <w:t>入</w:t>
      </w:r>
      <w:r>
        <w:rPr>
          <w:rStyle w:val="28"/>
          <w:rFonts w:hint="eastAsia" w:ascii="仿宋" w:hAnsi="仿宋" w:eastAsia="仿宋"/>
          <w:b w:val="0"/>
          <w:bCs w:val="0"/>
          <w:lang w:eastAsia="zh-CN"/>
        </w:rPr>
        <w:t>决算</w:t>
      </w:r>
      <w:r>
        <w:rPr>
          <w:rStyle w:val="28"/>
          <w:rFonts w:hint="eastAsia" w:ascii="仿宋" w:hAnsi="仿宋" w:eastAsia="仿宋"/>
          <w:b w:val="0"/>
          <w:bCs w:val="0"/>
        </w:rPr>
        <w:t>表</w:t>
      </w:r>
      <w:bookmarkEnd w:id="67"/>
    </w:p>
    <w:p>
      <w:pPr>
        <w:pStyle w:val="4"/>
        <w:rPr>
          <w:rFonts w:ascii="仿宋" w:hAnsi="仿宋" w:eastAsia="仿宋"/>
          <w:color w:val="000000"/>
        </w:rPr>
      </w:pPr>
      <w:bookmarkStart w:id="68" w:name="_Toc15396621"/>
      <w:r>
        <w:rPr>
          <w:rStyle w:val="28"/>
          <w:rFonts w:hint="eastAsia" w:ascii="仿宋" w:hAnsi="仿宋" w:eastAsia="仿宋"/>
          <w:b w:val="0"/>
          <w:bCs w:val="0"/>
        </w:rPr>
        <w:t>三、</w:t>
      </w:r>
      <w:r>
        <w:rPr>
          <w:rFonts w:hint="eastAsia" w:ascii="仿宋" w:hAnsi="仿宋" w:eastAsia="仿宋"/>
          <w:b w:val="0"/>
          <w:color w:val="000000"/>
        </w:rPr>
        <w:t>支</w:t>
      </w:r>
      <w:r>
        <w:rPr>
          <w:rStyle w:val="28"/>
          <w:rFonts w:hint="eastAsia" w:ascii="仿宋" w:hAnsi="仿宋" w:eastAsia="仿宋"/>
          <w:b w:val="0"/>
          <w:bCs w:val="0"/>
        </w:rPr>
        <w:t>出</w:t>
      </w:r>
      <w:r>
        <w:rPr>
          <w:rStyle w:val="28"/>
          <w:rFonts w:hint="eastAsia" w:ascii="仿宋" w:hAnsi="仿宋" w:eastAsia="仿宋"/>
          <w:b w:val="0"/>
          <w:bCs w:val="0"/>
          <w:lang w:eastAsia="zh-CN"/>
        </w:rPr>
        <w:t>决算</w:t>
      </w:r>
      <w:r>
        <w:rPr>
          <w:rStyle w:val="28"/>
          <w:rFonts w:hint="eastAsia" w:ascii="仿宋" w:hAnsi="仿宋" w:eastAsia="仿宋"/>
          <w:b w:val="0"/>
          <w:bCs w:val="0"/>
        </w:rPr>
        <w:t>表</w:t>
      </w:r>
      <w:bookmarkEnd w:id="68"/>
    </w:p>
    <w:p>
      <w:pPr>
        <w:pStyle w:val="4"/>
        <w:rPr>
          <w:rFonts w:ascii="仿宋" w:hAnsi="仿宋" w:eastAsia="仿宋"/>
          <w:b w:val="0"/>
          <w:color w:val="000000"/>
        </w:rPr>
      </w:pPr>
      <w:bookmarkStart w:id="69" w:name="_Toc15396622"/>
      <w:r>
        <w:rPr>
          <w:rStyle w:val="28"/>
          <w:rFonts w:hint="eastAsia" w:ascii="仿宋" w:hAnsi="仿宋" w:eastAsia="仿宋"/>
          <w:b w:val="0"/>
          <w:bCs w:val="0"/>
        </w:rPr>
        <w:t>四、</w:t>
      </w:r>
      <w:r>
        <w:rPr>
          <w:rFonts w:hint="eastAsia" w:ascii="仿宋" w:hAnsi="仿宋" w:eastAsia="仿宋"/>
          <w:b w:val="0"/>
          <w:color w:val="000000"/>
        </w:rPr>
        <w:t>财</w:t>
      </w:r>
      <w:r>
        <w:rPr>
          <w:rStyle w:val="28"/>
          <w:rFonts w:hint="eastAsia" w:ascii="仿宋" w:hAnsi="仿宋" w:eastAsia="仿宋"/>
          <w:b w:val="0"/>
          <w:bCs w:val="0"/>
        </w:rPr>
        <w:t>政拨款收入支出决算总表</w:t>
      </w:r>
      <w:bookmarkEnd w:id="69"/>
    </w:p>
    <w:p>
      <w:pPr>
        <w:pStyle w:val="4"/>
        <w:rPr>
          <w:rFonts w:ascii="仿宋" w:hAnsi="仿宋" w:eastAsia="仿宋"/>
          <w:color w:val="000000"/>
        </w:rPr>
      </w:pPr>
      <w:bookmarkStart w:id="70" w:name="_Toc15396623"/>
      <w:r>
        <w:rPr>
          <w:rStyle w:val="28"/>
          <w:rFonts w:hint="eastAsia" w:ascii="仿宋" w:hAnsi="仿宋" w:eastAsia="仿宋"/>
          <w:b w:val="0"/>
          <w:bCs w:val="0"/>
        </w:rPr>
        <w:t>五、</w:t>
      </w:r>
      <w:r>
        <w:rPr>
          <w:rFonts w:hint="eastAsia" w:ascii="仿宋" w:hAnsi="仿宋" w:eastAsia="仿宋"/>
          <w:b w:val="0"/>
          <w:color w:val="000000"/>
        </w:rPr>
        <w:t>财</w:t>
      </w:r>
      <w:r>
        <w:rPr>
          <w:rStyle w:val="28"/>
          <w:rFonts w:hint="eastAsia" w:ascii="仿宋" w:hAnsi="仿宋" w:eastAsia="仿宋"/>
          <w:b w:val="0"/>
          <w:bCs w:val="0"/>
        </w:rPr>
        <w:t>政拨款支出决算明细表</w:t>
      </w:r>
      <w:bookmarkEnd w:id="70"/>
    </w:p>
    <w:p>
      <w:pPr>
        <w:pStyle w:val="4"/>
        <w:rPr>
          <w:rFonts w:ascii="仿宋" w:hAnsi="仿宋" w:eastAsia="仿宋"/>
          <w:color w:val="000000"/>
        </w:rPr>
      </w:pPr>
      <w:bookmarkStart w:id="71" w:name="_Toc15396624"/>
      <w:r>
        <w:rPr>
          <w:rStyle w:val="28"/>
          <w:rFonts w:hint="eastAsia" w:ascii="仿宋" w:hAnsi="仿宋" w:eastAsia="仿宋"/>
          <w:b w:val="0"/>
          <w:bCs w:val="0"/>
        </w:rPr>
        <w:t>六、</w:t>
      </w:r>
      <w:r>
        <w:rPr>
          <w:rFonts w:hint="eastAsia" w:ascii="仿宋" w:hAnsi="仿宋" w:eastAsia="仿宋"/>
          <w:b w:val="0"/>
          <w:color w:val="000000"/>
        </w:rPr>
        <w:t>一</w:t>
      </w:r>
      <w:r>
        <w:rPr>
          <w:rStyle w:val="28"/>
          <w:rFonts w:hint="eastAsia" w:ascii="仿宋" w:hAnsi="仿宋" w:eastAsia="仿宋"/>
          <w:b w:val="0"/>
          <w:bCs w:val="0"/>
        </w:rPr>
        <w:t>般公共预算财政拨款支出决算表</w:t>
      </w:r>
      <w:bookmarkEnd w:id="71"/>
    </w:p>
    <w:p>
      <w:pPr>
        <w:pStyle w:val="4"/>
        <w:rPr>
          <w:rFonts w:ascii="仿宋" w:hAnsi="仿宋" w:eastAsia="仿宋"/>
          <w:color w:val="000000"/>
        </w:rPr>
      </w:pPr>
      <w:bookmarkStart w:id="72" w:name="_Toc15396625"/>
      <w:r>
        <w:rPr>
          <w:rStyle w:val="28"/>
          <w:rFonts w:hint="eastAsia" w:ascii="仿宋" w:hAnsi="仿宋" w:eastAsia="仿宋"/>
          <w:b w:val="0"/>
          <w:bCs w:val="0"/>
        </w:rPr>
        <w:t>七、</w:t>
      </w:r>
      <w:r>
        <w:rPr>
          <w:rFonts w:hint="eastAsia" w:ascii="仿宋" w:hAnsi="仿宋" w:eastAsia="仿宋"/>
          <w:b w:val="0"/>
          <w:color w:val="000000"/>
        </w:rPr>
        <w:t>一</w:t>
      </w:r>
      <w:r>
        <w:rPr>
          <w:rStyle w:val="28"/>
          <w:rFonts w:hint="eastAsia" w:ascii="仿宋" w:hAnsi="仿宋" w:eastAsia="仿宋"/>
          <w:b w:val="0"/>
          <w:bCs w:val="0"/>
        </w:rPr>
        <w:t>般公共预算财政拨款支出决算明细表</w:t>
      </w:r>
      <w:bookmarkEnd w:id="72"/>
    </w:p>
    <w:p>
      <w:pPr>
        <w:pStyle w:val="4"/>
        <w:rPr>
          <w:rFonts w:ascii="仿宋" w:hAnsi="仿宋" w:eastAsia="仿宋"/>
          <w:color w:val="000000"/>
        </w:rPr>
      </w:pPr>
      <w:bookmarkStart w:id="73" w:name="_Toc15396626"/>
      <w:r>
        <w:rPr>
          <w:rStyle w:val="28"/>
          <w:rFonts w:hint="eastAsia" w:ascii="仿宋" w:hAnsi="仿宋" w:eastAsia="仿宋"/>
          <w:b w:val="0"/>
          <w:bCs w:val="0"/>
        </w:rPr>
        <w:t>八、</w:t>
      </w:r>
      <w:r>
        <w:rPr>
          <w:rFonts w:hint="eastAsia" w:ascii="仿宋" w:hAnsi="仿宋" w:eastAsia="仿宋"/>
          <w:b w:val="0"/>
          <w:color w:val="000000"/>
        </w:rPr>
        <w:t>一</w:t>
      </w:r>
      <w:r>
        <w:rPr>
          <w:rStyle w:val="28"/>
          <w:rFonts w:hint="eastAsia" w:ascii="仿宋" w:hAnsi="仿宋" w:eastAsia="仿宋"/>
          <w:b w:val="0"/>
          <w:bCs w:val="0"/>
        </w:rPr>
        <w:t>般公共预算财政拨款基本支出决算表</w:t>
      </w:r>
      <w:bookmarkEnd w:id="73"/>
    </w:p>
    <w:p>
      <w:pPr>
        <w:pStyle w:val="4"/>
        <w:rPr>
          <w:rFonts w:ascii="仿宋" w:hAnsi="仿宋" w:eastAsia="仿宋"/>
          <w:color w:val="000000"/>
        </w:rPr>
      </w:pPr>
      <w:bookmarkStart w:id="74" w:name="_Toc15396627"/>
      <w:r>
        <w:rPr>
          <w:rStyle w:val="28"/>
          <w:rFonts w:hint="eastAsia" w:ascii="仿宋" w:hAnsi="仿宋" w:eastAsia="仿宋"/>
          <w:b w:val="0"/>
          <w:bCs w:val="0"/>
        </w:rPr>
        <w:t>九、</w:t>
      </w:r>
      <w:r>
        <w:rPr>
          <w:rFonts w:hint="eastAsia" w:ascii="仿宋" w:hAnsi="仿宋" w:eastAsia="仿宋"/>
          <w:b w:val="0"/>
          <w:color w:val="000000"/>
        </w:rPr>
        <w:t>一</w:t>
      </w:r>
      <w:r>
        <w:rPr>
          <w:rStyle w:val="28"/>
          <w:rFonts w:hint="eastAsia" w:ascii="仿宋" w:hAnsi="仿宋" w:eastAsia="仿宋"/>
          <w:b w:val="0"/>
          <w:bCs w:val="0"/>
        </w:rPr>
        <w:t>般公共预算财政拨款项目支出决算表</w:t>
      </w:r>
      <w:bookmarkEnd w:id="74"/>
    </w:p>
    <w:p>
      <w:pPr>
        <w:pStyle w:val="4"/>
        <w:rPr>
          <w:rFonts w:ascii="仿宋" w:hAnsi="仿宋" w:eastAsia="仿宋"/>
          <w:color w:val="000000"/>
        </w:rPr>
      </w:pPr>
      <w:bookmarkStart w:id="75" w:name="_Toc15396628"/>
      <w:r>
        <w:rPr>
          <w:rStyle w:val="28"/>
          <w:rFonts w:hint="eastAsia" w:ascii="仿宋" w:hAnsi="仿宋" w:eastAsia="仿宋"/>
          <w:b w:val="0"/>
          <w:bCs w:val="0"/>
        </w:rPr>
        <w:t>十、</w:t>
      </w:r>
      <w:r>
        <w:rPr>
          <w:rFonts w:hint="eastAsia" w:ascii="仿宋" w:hAnsi="仿宋" w:eastAsia="仿宋"/>
          <w:b w:val="0"/>
          <w:color w:val="000000"/>
        </w:rPr>
        <w:t>一</w:t>
      </w:r>
      <w:r>
        <w:rPr>
          <w:rStyle w:val="28"/>
          <w:rFonts w:hint="eastAsia" w:ascii="仿宋" w:hAnsi="仿宋" w:eastAsia="仿宋"/>
          <w:b w:val="0"/>
          <w:bCs w:val="0"/>
        </w:rPr>
        <w:t>般公共预算财政拨款“三公”经费支出决算表</w:t>
      </w:r>
      <w:bookmarkEnd w:id="75"/>
    </w:p>
    <w:p>
      <w:pPr>
        <w:pStyle w:val="4"/>
        <w:rPr>
          <w:rFonts w:ascii="仿宋" w:hAnsi="仿宋" w:eastAsia="仿宋"/>
          <w:color w:val="000000"/>
        </w:rPr>
      </w:pPr>
      <w:bookmarkStart w:id="76" w:name="_Toc15396629"/>
      <w:r>
        <w:rPr>
          <w:rStyle w:val="28"/>
          <w:rFonts w:hint="eastAsia" w:ascii="仿宋" w:hAnsi="仿宋" w:eastAsia="仿宋"/>
          <w:b w:val="0"/>
          <w:bCs w:val="0"/>
        </w:rPr>
        <w:t>十一、</w:t>
      </w:r>
      <w:r>
        <w:rPr>
          <w:rFonts w:hint="eastAsia" w:ascii="仿宋" w:hAnsi="仿宋" w:eastAsia="仿宋"/>
          <w:b w:val="0"/>
          <w:color w:val="000000"/>
        </w:rPr>
        <w:t>政</w:t>
      </w:r>
      <w:r>
        <w:rPr>
          <w:rStyle w:val="28"/>
          <w:rFonts w:hint="eastAsia" w:ascii="仿宋" w:hAnsi="仿宋" w:eastAsia="仿宋"/>
          <w:b w:val="0"/>
          <w:bCs w:val="0"/>
        </w:rPr>
        <w:t>府性基金预算财政拨款收入支出决算表</w:t>
      </w:r>
      <w:bookmarkEnd w:id="76"/>
    </w:p>
    <w:p>
      <w:pPr>
        <w:pStyle w:val="4"/>
        <w:rPr>
          <w:rFonts w:ascii="仿宋" w:hAnsi="仿宋" w:eastAsia="仿宋"/>
          <w:color w:val="000000"/>
        </w:rPr>
      </w:pPr>
      <w:bookmarkStart w:id="77" w:name="_Toc15396630"/>
      <w:r>
        <w:rPr>
          <w:rStyle w:val="28"/>
          <w:rFonts w:hint="eastAsia" w:ascii="仿宋" w:hAnsi="仿宋" w:eastAsia="仿宋"/>
          <w:b w:val="0"/>
          <w:bCs w:val="0"/>
        </w:rPr>
        <w:t>十二、</w:t>
      </w:r>
      <w:r>
        <w:rPr>
          <w:rFonts w:hint="eastAsia" w:ascii="仿宋" w:hAnsi="仿宋" w:eastAsia="仿宋"/>
          <w:b w:val="0"/>
          <w:color w:val="000000"/>
        </w:rPr>
        <w:t>政</w:t>
      </w:r>
      <w:r>
        <w:rPr>
          <w:rStyle w:val="28"/>
          <w:rFonts w:hint="eastAsia" w:ascii="仿宋" w:hAnsi="仿宋" w:eastAsia="仿宋"/>
          <w:b w:val="0"/>
          <w:bCs w:val="0"/>
        </w:rPr>
        <w:t>府性基金预算财政拨款“三公”经费支出决算表</w:t>
      </w:r>
      <w:bookmarkEnd w:id="77"/>
    </w:p>
    <w:p>
      <w:pPr>
        <w:pStyle w:val="4"/>
        <w:rPr>
          <w:rFonts w:ascii="仿宋" w:hAnsi="仿宋" w:eastAsia="仿宋"/>
          <w:color w:val="000000" w:themeColor="text1"/>
          <w14:textFill>
            <w14:solidFill>
              <w14:schemeClr w14:val="tx1"/>
            </w14:solidFill>
          </w14:textFill>
        </w:rPr>
      </w:pPr>
      <w:bookmarkStart w:id="78" w:name="_Toc15396631"/>
      <w:r>
        <w:rPr>
          <w:rStyle w:val="28"/>
          <w:rFonts w:hint="eastAsia" w:ascii="仿宋" w:hAnsi="仿宋" w:eastAsia="仿宋"/>
          <w:b w:val="0"/>
          <w:bCs w:val="0"/>
        </w:rPr>
        <w:t>十三、</w:t>
      </w:r>
      <w:r>
        <w:rPr>
          <w:rFonts w:hint="eastAsia" w:ascii="仿宋" w:hAnsi="仿宋" w:eastAsia="仿宋"/>
          <w:b w:val="0"/>
          <w:color w:val="000000"/>
        </w:rPr>
        <w:t>国</w:t>
      </w:r>
      <w:r>
        <w:rPr>
          <w:rStyle w:val="28"/>
          <w:rFonts w:hint="eastAsia" w:ascii="仿宋" w:hAnsi="仿宋" w:eastAsia="仿宋"/>
          <w:b w:val="0"/>
          <w:bCs w:val="0"/>
        </w:rPr>
        <w:t>有资本经营预算支出决算表</w:t>
      </w:r>
      <w:bookmarkEnd w:id="78"/>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
    <w:altName w:val="楷体_GB2312"/>
    <w:panose1 w:val="02010609060101010101"/>
    <w:charset w:val="86"/>
    <w:family w:val="auto"/>
    <w:pitch w:val="default"/>
    <w:sig w:usb0="00000000" w:usb1="00000000"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新宋体">
    <w:panose1 w:val="02010609030101010101"/>
    <w:charset w:val="86"/>
    <w:family w:val="auto"/>
    <w:pitch w:val="default"/>
    <w:sig w:usb0="00000003" w:usb1="080E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Calibri Light">
    <w:altName w:val="Latha"/>
    <w:panose1 w:val="020F0302020204030204"/>
    <w:charset w:val="00"/>
    <w:family w:val="auto"/>
    <w:pitch w:val="default"/>
    <w:sig w:usb0="00000000" w:usb1="00000000" w:usb2="00000000" w:usb3="00000000" w:csb0="2000019F" w:csb1="00000000"/>
  </w:font>
  <w:font w:name="幼圆">
    <w:panose1 w:val="0201050906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方正楷体简体">
    <w:altName w:val="楷体_GB2312"/>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
    <w:altName w:val="Times New Roman"/>
    <w:panose1 w:val="00000000000000000000"/>
    <w:charset w:val="00"/>
    <w:family w:val="roman"/>
    <w:pitch w:val="default"/>
    <w:sig w:usb0="00000000" w:usb1="00000000" w:usb2="00000000" w:usb3="00000000" w:csb0="00000000" w:csb1="00000000"/>
  </w:font>
  <w:font w:name="Mangal">
    <w:panose1 w:val="00000400000000000000"/>
    <w:charset w:val="00"/>
    <w:family w:val="auto"/>
    <w:pitch w:val="default"/>
    <w:sig w:usb0="00008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Arial Narrow">
    <w:panose1 w:val="020B0506020202030204"/>
    <w:charset w:val="00"/>
    <w:family w:val="auto"/>
    <w:pitch w:val="default"/>
    <w:sig w:usb0="00000287" w:usb1="00000000" w:usb2="00000000" w:usb3="00000000" w:csb0="2000009F" w:csb1="DFD70000"/>
  </w:font>
  <w:font w:name="Arial Narrow">
    <w:panose1 w:val="020B0506020202030204"/>
    <w:charset w:val="01"/>
    <w:family w:val="swiss"/>
    <w:pitch w:val="default"/>
    <w:sig w:usb0="00000287" w:usb1="00000000" w:usb2="00000000" w:usb3="00000000" w:csb0="2000009F" w:csb1="DFD70000"/>
  </w:font>
  <w:font w:name="Verdana">
    <w:panose1 w:val="020B0604030504040204"/>
    <w:charset w:val="00"/>
    <w:family w:val="auto"/>
    <w:pitch w:val="default"/>
    <w:sig w:usb0="00000287" w:usb1="00000000" w:usb2="00000000" w:usb3="00000000" w:csb0="2000019F" w:csb1="00000000"/>
  </w:font>
  <w:font w:name="Latha">
    <w:panose1 w:val="02000400000000000000"/>
    <w:charset w:val="00"/>
    <w:family w:val="auto"/>
    <w:pitch w:val="default"/>
    <w:sig w:usb0="001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5D08D6DC"/>
    <w:multiLevelType w:val="singleLevel"/>
    <w:tmpl w:val="5D08D6DC"/>
    <w:lvl w:ilvl="0" w:tentative="0">
      <w:start w:val="3"/>
      <w:numFmt w:val="decimal"/>
      <w:suff w:val="nothing"/>
      <w:lvlText w:val="%1."/>
      <w:lvlJc w:val="left"/>
    </w:lvl>
  </w:abstractNum>
  <w:abstractNum w:abstractNumId="7">
    <w:nsid w:val="5D5CA2DD"/>
    <w:multiLevelType w:val="singleLevel"/>
    <w:tmpl w:val="5D5CA2DD"/>
    <w:lvl w:ilvl="0" w:tentative="0">
      <w:start w:val="1"/>
      <w:numFmt w:val="decimal"/>
      <w:suff w:val="nothing"/>
      <w:lvlText w:val="%1."/>
      <w:lvlJc w:val="left"/>
    </w:lvl>
  </w:abstractNum>
  <w:abstractNum w:abstractNumId="8">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abstractNum w:abstractNumId="9">
    <w:nsid w:val="67DA63FD"/>
    <w:multiLevelType w:val="multilevel"/>
    <w:tmpl w:val="67DA63FD"/>
    <w:lvl w:ilvl="0" w:tentative="0">
      <w:start w:val="2"/>
      <w:numFmt w:val="japaneseCounting"/>
      <w:lvlText w:val="（%1）"/>
      <w:lvlJc w:val="left"/>
      <w:pPr>
        <w:ind w:left="1723" w:hanging="1080"/>
      </w:pPr>
      <w:rPr>
        <w:rFonts w:hint="default" w:cs="Times New Roman"/>
      </w:rPr>
    </w:lvl>
    <w:lvl w:ilvl="1" w:tentative="0">
      <w:start w:val="1"/>
      <w:numFmt w:val="lowerLetter"/>
      <w:lvlText w:val="%2)"/>
      <w:lvlJc w:val="left"/>
      <w:pPr>
        <w:ind w:left="1483" w:hanging="420"/>
      </w:pPr>
      <w:rPr>
        <w:rFonts w:cs="Times New Roman"/>
      </w:rPr>
    </w:lvl>
    <w:lvl w:ilvl="2" w:tentative="0">
      <w:start w:val="1"/>
      <w:numFmt w:val="lowerRoman"/>
      <w:lvlText w:val="%3."/>
      <w:lvlJc w:val="right"/>
      <w:pPr>
        <w:ind w:left="1903" w:hanging="420"/>
      </w:pPr>
      <w:rPr>
        <w:rFonts w:cs="Times New Roman"/>
      </w:rPr>
    </w:lvl>
    <w:lvl w:ilvl="3" w:tentative="0">
      <w:start w:val="1"/>
      <w:numFmt w:val="decimal"/>
      <w:lvlText w:val="%4."/>
      <w:lvlJc w:val="left"/>
      <w:pPr>
        <w:ind w:left="2323" w:hanging="420"/>
      </w:pPr>
      <w:rPr>
        <w:rFonts w:cs="Times New Roman"/>
      </w:rPr>
    </w:lvl>
    <w:lvl w:ilvl="4" w:tentative="0">
      <w:start w:val="1"/>
      <w:numFmt w:val="lowerLetter"/>
      <w:lvlText w:val="%5)"/>
      <w:lvlJc w:val="left"/>
      <w:pPr>
        <w:ind w:left="2743" w:hanging="420"/>
      </w:pPr>
      <w:rPr>
        <w:rFonts w:cs="Times New Roman"/>
      </w:rPr>
    </w:lvl>
    <w:lvl w:ilvl="5" w:tentative="0">
      <w:start w:val="1"/>
      <w:numFmt w:val="lowerRoman"/>
      <w:lvlText w:val="%6."/>
      <w:lvlJc w:val="right"/>
      <w:pPr>
        <w:ind w:left="3163" w:hanging="420"/>
      </w:pPr>
      <w:rPr>
        <w:rFonts w:cs="Times New Roman"/>
      </w:rPr>
    </w:lvl>
    <w:lvl w:ilvl="6" w:tentative="0">
      <w:start w:val="1"/>
      <w:numFmt w:val="decimal"/>
      <w:lvlText w:val="%7."/>
      <w:lvlJc w:val="left"/>
      <w:pPr>
        <w:ind w:left="3583" w:hanging="420"/>
      </w:pPr>
      <w:rPr>
        <w:rFonts w:cs="Times New Roman"/>
      </w:rPr>
    </w:lvl>
    <w:lvl w:ilvl="7" w:tentative="0">
      <w:start w:val="1"/>
      <w:numFmt w:val="lowerLetter"/>
      <w:lvlText w:val="%8)"/>
      <w:lvlJc w:val="left"/>
      <w:pPr>
        <w:ind w:left="4003" w:hanging="420"/>
      </w:pPr>
      <w:rPr>
        <w:rFonts w:cs="Times New Roman"/>
      </w:rPr>
    </w:lvl>
    <w:lvl w:ilvl="8" w:tentative="0">
      <w:start w:val="1"/>
      <w:numFmt w:val="lowerRoman"/>
      <w:lvlText w:val="%9."/>
      <w:lvlJc w:val="right"/>
      <w:pPr>
        <w:ind w:left="4423" w:hanging="420"/>
      </w:pPr>
      <w:rPr>
        <w:rFonts w:cs="Times New Roman"/>
      </w:rPr>
    </w:lvl>
  </w:abstractNum>
  <w:num w:numId="1">
    <w:abstractNumId w:val="7"/>
  </w:num>
  <w:num w:numId="2">
    <w:abstractNumId w:val="8"/>
  </w:num>
  <w:num w:numId="3">
    <w:abstractNumId w:val="4"/>
  </w:num>
  <w:num w:numId="4">
    <w:abstractNumId w:val="1"/>
  </w:num>
  <w:num w:numId="5">
    <w:abstractNumId w:val="5"/>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8486E"/>
    <w:rsid w:val="005D1C8B"/>
    <w:rsid w:val="005D5CED"/>
    <w:rsid w:val="005F1A4C"/>
    <w:rsid w:val="00605688"/>
    <w:rsid w:val="006070AF"/>
    <w:rsid w:val="00607E6C"/>
    <w:rsid w:val="006101B1"/>
    <w:rsid w:val="00622830"/>
    <w:rsid w:val="00630AEF"/>
    <w:rsid w:val="006325F8"/>
    <w:rsid w:val="00634C9A"/>
    <w:rsid w:val="006440E4"/>
    <w:rsid w:val="0066343B"/>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F19"/>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6DC019C"/>
    <w:rsid w:val="10C055FF"/>
    <w:rsid w:val="1255122C"/>
    <w:rsid w:val="16BB723D"/>
    <w:rsid w:val="210D7184"/>
    <w:rsid w:val="215A1B9F"/>
    <w:rsid w:val="21D94C47"/>
    <w:rsid w:val="240371BF"/>
    <w:rsid w:val="24410AB9"/>
    <w:rsid w:val="24F42B2B"/>
    <w:rsid w:val="258D3A6B"/>
    <w:rsid w:val="29FD04D3"/>
    <w:rsid w:val="2C163512"/>
    <w:rsid w:val="30D26FEA"/>
    <w:rsid w:val="312F1C35"/>
    <w:rsid w:val="319F7F4E"/>
    <w:rsid w:val="3693766B"/>
    <w:rsid w:val="3DC92186"/>
    <w:rsid w:val="3F763535"/>
    <w:rsid w:val="46F82B24"/>
    <w:rsid w:val="47E93402"/>
    <w:rsid w:val="48342D6C"/>
    <w:rsid w:val="4B93743F"/>
    <w:rsid w:val="4DE41AB2"/>
    <w:rsid w:val="510D2B9D"/>
    <w:rsid w:val="57143553"/>
    <w:rsid w:val="58BA05A6"/>
    <w:rsid w:val="59171336"/>
    <w:rsid w:val="5B242EC5"/>
    <w:rsid w:val="5F9D0916"/>
    <w:rsid w:val="60547423"/>
    <w:rsid w:val="62940A26"/>
    <w:rsid w:val="64000DA2"/>
    <w:rsid w:val="662B6622"/>
    <w:rsid w:val="686C5476"/>
    <w:rsid w:val="6935034A"/>
    <w:rsid w:val="6D98220D"/>
    <w:rsid w:val="6DFA33DD"/>
    <w:rsid w:val="6E6B2B7E"/>
    <w:rsid w:val="6F92169E"/>
    <w:rsid w:val="70510701"/>
    <w:rsid w:val="72D43CD3"/>
    <w:rsid w:val="73E124E4"/>
    <w:rsid w:val="764A7AD6"/>
    <w:rsid w:val="7A090549"/>
    <w:rsid w:val="7CA84ED5"/>
    <w:rsid w:val="7EAE60C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snapToGrid w:val="0"/>
      <w:ind w:firstLine="556"/>
    </w:pPr>
    <w:rPr>
      <w:rFonts w:ascii="仿宋_GB2312" w:hAnsi="Times New Roman" w:eastAsia="仿宋_GB2312"/>
      <w:kern w:val="0"/>
      <w:szCs w:val="20"/>
      <w:lang w:val="zh-CN" w:eastAsia="zh-CN"/>
    </w:rPr>
  </w:style>
  <w:style w:type="paragraph" w:styleId="5">
    <w:name w:val="annotation text"/>
    <w:basedOn w:val="1"/>
    <w:unhideWhenUsed/>
    <w:qFormat/>
    <w:uiPriority w:val="99"/>
    <w:pPr>
      <w:jc w:val="left"/>
    </w:pPr>
  </w:style>
  <w:style w:type="paragraph" w:styleId="6">
    <w:name w:val="Body Text"/>
    <w:basedOn w:val="1"/>
    <w:link w:val="24"/>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5">
    <w:name w:val="Strong"/>
    <w:basedOn w:val="14"/>
    <w:qFormat/>
    <w:uiPriority w:val="99"/>
    <w:rPr>
      <w:b/>
    </w:rPr>
  </w:style>
  <w:style w:type="character" w:styleId="16">
    <w:name w:val="FollowedHyperlink"/>
    <w:basedOn w:val="14"/>
    <w:unhideWhenUsed/>
    <w:qFormat/>
    <w:uiPriority w:val="99"/>
    <w:rPr>
      <w:color w:val="000000"/>
      <w:u w:val="none"/>
    </w:rPr>
  </w:style>
  <w:style w:type="character" w:styleId="17">
    <w:name w:val="Hyperlink"/>
    <w:basedOn w:val="14"/>
    <w:unhideWhenUsed/>
    <w:qFormat/>
    <w:uiPriority w:val="99"/>
    <w:rPr>
      <w:color w:val="0000FF" w:themeColor="hyperlink"/>
      <w:u w:val="single"/>
      <w14:textFill>
        <w14:solidFill>
          <w14:schemeClr w14:val="hlink"/>
        </w14:solidFill>
      </w14:textFill>
    </w:rPr>
  </w:style>
  <w:style w:type="character" w:customStyle="1" w:styleId="19">
    <w:name w:val="Header Char"/>
    <w:basedOn w:val="14"/>
    <w:semiHidden/>
    <w:qFormat/>
    <w:uiPriority w:val="99"/>
    <w:rPr>
      <w:rFonts w:ascii="Times New Roman" w:hAnsi="Times New Roman"/>
      <w:sz w:val="18"/>
      <w:szCs w:val="18"/>
    </w:rPr>
  </w:style>
  <w:style w:type="character" w:customStyle="1" w:styleId="20">
    <w:name w:val="页眉 Char"/>
    <w:link w:val="10"/>
    <w:semiHidden/>
    <w:qFormat/>
    <w:locked/>
    <w:uiPriority w:val="99"/>
    <w:rPr>
      <w:sz w:val="18"/>
    </w:rPr>
  </w:style>
  <w:style w:type="character" w:customStyle="1" w:styleId="21">
    <w:name w:val="Footer Char"/>
    <w:basedOn w:val="14"/>
    <w:semiHidden/>
    <w:qFormat/>
    <w:uiPriority w:val="99"/>
    <w:rPr>
      <w:rFonts w:ascii="Times New Roman" w:hAnsi="Times New Roman"/>
      <w:sz w:val="18"/>
      <w:szCs w:val="18"/>
    </w:rPr>
  </w:style>
  <w:style w:type="character" w:customStyle="1" w:styleId="22">
    <w:name w:val="页脚 Char"/>
    <w:link w:val="9"/>
    <w:qFormat/>
    <w:locked/>
    <w:uiPriority w:val="99"/>
    <w:rPr>
      <w:sz w:val="18"/>
    </w:rPr>
  </w:style>
  <w:style w:type="character" w:customStyle="1" w:styleId="23">
    <w:name w:val="Body Text Char"/>
    <w:basedOn w:val="14"/>
    <w:semiHidden/>
    <w:qFormat/>
    <w:uiPriority w:val="99"/>
    <w:rPr>
      <w:rFonts w:ascii="Times New Roman" w:hAnsi="Times New Roman"/>
      <w:szCs w:val="24"/>
    </w:rPr>
  </w:style>
  <w:style w:type="character" w:customStyle="1" w:styleId="24">
    <w:name w:val="正文文本 Char"/>
    <w:link w:val="6"/>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6">
    <w:name w:val="List Paragraph"/>
    <w:basedOn w:val="1"/>
    <w:qFormat/>
    <w:uiPriority w:val="34"/>
    <w:pPr>
      <w:ind w:firstLine="420" w:firstLineChars="200"/>
    </w:pPr>
  </w:style>
  <w:style w:type="character" w:customStyle="1" w:styleId="27">
    <w:name w:val="标题 1 Char"/>
    <w:basedOn w:val="14"/>
    <w:link w:val="3"/>
    <w:qFormat/>
    <w:uiPriority w:val="9"/>
    <w:rPr>
      <w:rFonts w:ascii="Times New Roman" w:hAnsi="Times New Roman"/>
      <w:b/>
      <w:bCs/>
      <w:kern w:val="44"/>
      <w:sz w:val="44"/>
      <w:szCs w:val="44"/>
    </w:rPr>
  </w:style>
  <w:style w:type="character" w:customStyle="1" w:styleId="28">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4"/>
    <w:link w:val="8"/>
    <w:semiHidden/>
    <w:qFormat/>
    <w:uiPriority w:val="99"/>
    <w:rPr>
      <w:rFonts w:ascii="Times New Roman" w:hAnsi="Times New Roman"/>
      <w:kern w:val="2"/>
      <w:sz w:val="18"/>
      <w:szCs w:val="18"/>
    </w:rPr>
  </w:style>
  <w:style w:type="character" w:customStyle="1" w:styleId="31">
    <w:name w:val="font01"/>
    <w:basedOn w:val="14"/>
    <w:qFormat/>
    <w:uiPriority w:val="0"/>
    <w:rPr>
      <w:rFonts w:ascii="Arial" w:hAnsi="Arial" w:cs="Arial"/>
      <w:color w:val="000000"/>
      <w:sz w:val="24"/>
      <w:szCs w:val="24"/>
      <w:u w:val="none"/>
    </w:rPr>
  </w:style>
  <w:style w:type="character" w:customStyle="1" w:styleId="32">
    <w:name w:val="font11"/>
    <w:basedOn w:val="14"/>
    <w:qFormat/>
    <w:uiPriority w:val="0"/>
    <w:rPr>
      <w:rFonts w:hint="eastAsia" w:ascii="宋体" w:hAnsi="宋体" w:eastAsia="宋体" w:cs="宋体"/>
      <w:color w:val="000000"/>
      <w:sz w:val="24"/>
      <w:szCs w:val="24"/>
      <w:u w:val="none"/>
    </w:rPr>
  </w:style>
  <w:style w:type="character" w:customStyle="1" w:styleId="33">
    <w:name w:val="log_btn"/>
    <w:basedOn w:val="14"/>
    <w:qFormat/>
    <w:uiPriority w:val="0"/>
  </w:style>
  <w:style w:type="character" w:customStyle="1" w:styleId="34">
    <w:name w:val="ui-icon"/>
    <w:basedOn w:val="14"/>
    <w:qFormat/>
    <w:uiPriority w:val="0"/>
  </w:style>
  <w:style w:type="character" w:customStyle="1" w:styleId="35">
    <w:name w:val="source_btn"/>
    <w:basedOn w:val="14"/>
    <w:qFormat/>
    <w:uiPriority w:val="0"/>
  </w:style>
  <w:style w:type="character" w:customStyle="1" w:styleId="36">
    <w:name w:val="checkno_btn"/>
    <w:basedOn w:val="14"/>
    <w:qFormat/>
    <w:uiPriority w:val="0"/>
  </w:style>
  <w:style w:type="character" w:customStyle="1" w:styleId="37">
    <w:name w:val="combinecertificate_btn"/>
    <w:basedOn w:val="14"/>
    <w:qFormat/>
    <w:uiPriority w:val="0"/>
  </w:style>
  <w:style w:type="character" w:customStyle="1" w:styleId="38">
    <w:name w:val="undoarchive_btn"/>
    <w:basedOn w:val="14"/>
    <w:qFormat/>
    <w:uiPriority w:val="0"/>
  </w:style>
  <w:style w:type="character" w:customStyle="1" w:styleId="39">
    <w:name w:val="cancelissuing_btn"/>
    <w:basedOn w:val="14"/>
    <w:qFormat/>
    <w:uiPriority w:val="0"/>
  </w:style>
  <w:style w:type="character" w:customStyle="1" w:styleId="40">
    <w:name w:val="certificate_btn"/>
    <w:basedOn w:val="14"/>
    <w:qFormat/>
    <w:uiPriority w:val="0"/>
  </w:style>
  <w:style w:type="character" w:customStyle="1" w:styleId="41">
    <w:name w:val="batchsave_btn"/>
    <w:basedOn w:val="14"/>
    <w:qFormat/>
    <w:uiPriority w:val="0"/>
  </w:style>
  <w:style w:type="character" w:customStyle="1" w:styleId="42">
    <w:name w:val="generationdaily_btn"/>
    <w:basedOn w:val="14"/>
    <w:qFormat/>
    <w:uiPriority w:val="0"/>
  </w:style>
  <w:style w:type="character" w:customStyle="1" w:styleId="43">
    <w:name w:val="issuing_btn"/>
    <w:basedOn w:val="14"/>
    <w:qFormat/>
    <w:uiPriority w:val="0"/>
  </w:style>
  <w:style w:type="character" w:customStyle="1" w:styleId="44">
    <w:name w:val="d_out_btn"/>
    <w:basedOn w:val="14"/>
    <w:qFormat/>
    <w:uiPriority w:val="0"/>
  </w:style>
  <w:style w:type="character" w:customStyle="1" w:styleId="45">
    <w:name w:val="fistpage_btn"/>
    <w:basedOn w:val="14"/>
    <w:qFormat/>
    <w:uiPriority w:val="0"/>
  </w:style>
  <w:style w:type="character" w:customStyle="1" w:styleId="46">
    <w:name w:val="batchaudit_btn"/>
    <w:basedOn w:val="14"/>
    <w:qFormat/>
    <w:uiPriority w:val="0"/>
  </w:style>
  <w:style w:type="character" w:customStyle="1" w:styleId="47">
    <w:name w:val="hidden_btn"/>
    <w:basedOn w:val="14"/>
    <w:qFormat/>
    <w:uiPriority w:val="0"/>
  </w:style>
  <w:style w:type="character" w:customStyle="1" w:styleId="48">
    <w:name w:val="accredit_btn"/>
    <w:basedOn w:val="14"/>
    <w:qFormat/>
    <w:uiPriority w:val="0"/>
  </w:style>
  <w:style w:type="character" w:customStyle="1" w:styleId="49">
    <w:name w:val="confirm_btn"/>
    <w:basedOn w:val="14"/>
    <w:qFormat/>
    <w:uiPriority w:val="0"/>
  </w:style>
  <w:style w:type="character" w:customStyle="1" w:styleId="50">
    <w:name w:val="renode_btn"/>
    <w:basedOn w:val="14"/>
    <w:qFormat/>
    <w:uiPriority w:val="0"/>
  </w:style>
  <w:style w:type="character" w:customStyle="1" w:styleId="51">
    <w:name w:val="mond_btn"/>
    <w:basedOn w:val="14"/>
    <w:qFormat/>
    <w:uiPriority w:val="0"/>
  </w:style>
  <w:style w:type="character" w:customStyle="1" w:styleId="52">
    <w:name w:val="prepage_btn"/>
    <w:basedOn w:val="14"/>
    <w:qFormat/>
    <w:uiPriority w:val="0"/>
  </w:style>
  <w:style w:type="character" w:customStyle="1" w:styleId="53">
    <w:name w:val="liquidation_btn"/>
    <w:basedOn w:val="14"/>
    <w:qFormat/>
    <w:uiPriority w:val="0"/>
  </w:style>
  <w:style w:type="character" w:customStyle="1" w:styleId="54">
    <w:name w:val="goback_retired_btn"/>
    <w:basedOn w:val="14"/>
    <w:qFormat/>
    <w:uiPriority w:val="0"/>
  </w:style>
  <w:style w:type="character" w:customStyle="1" w:styleId="55">
    <w:name w:val="stop_m_btn"/>
    <w:basedOn w:val="14"/>
    <w:qFormat/>
    <w:uiPriority w:val="0"/>
  </w:style>
  <w:style w:type="character" w:customStyle="1" w:styleId="56">
    <w:name w:val="queryele_btn"/>
    <w:basedOn w:val="14"/>
    <w:qFormat/>
    <w:uiPriority w:val="0"/>
  </w:style>
  <w:style w:type="character" w:customStyle="1" w:styleId="57">
    <w:name w:val="doreceive_btn"/>
    <w:basedOn w:val="14"/>
    <w:qFormat/>
    <w:uiPriority w:val="0"/>
  </w:style>
  <w:style w:type="character" w:customStyle="1" w:styleId="58">
    <w:name w:val="nextpage_btn"/>
    <w:basedOn w:val="14"/>
    <w:qFormat/>
    <w:uiPriority w:val="0"/>
  </w:style>
  <w:style w:type="character" w:customStyle="1" w:styleId="59">
    <w:name w:val="availablecredit_btn"/>
    <w:basedOn w:val="14"/>
    <w:qFormat/>
    <w:uiPriority w:val="0"/>
  </w:style>
  <w:style w:type="character" w:customStyle="1" w:styleId="60">
    <w:name w:val="tobottom_btn"/>
    <w:basedOn w:val="14"/>
    <w:qFormat/>
    <w:uiPriority w:val="0"/>
  </w:style>
  <w:style w:type="character" w:customStyle="1" w:styleId="61">
    <w:name w:val="rmond_btn"/>
    <w:basedOn w:val="14"/>
    <w:qFormat/>
    <w:uiPriority w:val="0"/>
  </w:style>
  <w:style w:type="character" w:customStyle="1" w:styleId="62">
    <w:name w:val="endpage_btn"/>
    <w:basedOn w:val="14"/>
    <w:qFormat/>
    <w:uiPriority w:val="0"/>
  </w:style>
  <w:style w:type="character" w:customStyle="1" w:styleId="63">
    <w:name w:val="continue_m_btn"/>
    <w:basedOn w:val="14"/>
    <w:qFormat/>
    <w:uiPriority w:val="0"/>
  </w:style>
  <w:style w:type="character" w:customStyle="1" w:styleId="64">
    <w:name w:val="payamt_btn"/>
    <w:basedOn w:val="14"/>
    <w:qFormat/>
    <w:uiPriority w:val="0"/>
  </w:style>
  <w:style w:type="character" w:customStyle="1" w:styleId="65">
    <w:name w:val="return_btn"/>
    <w:basedOn w:val="14"/>
    <w:qFormat/>
    <w:uiPriority w:val="0"/>
  </w:style>
  <w:style w:type="character" w:customStyle="1" w:styleId="66">
    <w:name w:val="query_btn"/>
    <w:basedOn w:val="14"/>
    <w:qFormat/>
    <w:uiPriority w:val="0"/>
  </w:style>
  <w:style w:type="character" w:customStyle="1" w:styleId="67">
    <w:name w:val="viewsub_btn"/>
    <w:basedOn w:val="14"/>
    <w:qFormat/>
    <w:uiPriority w:val="0"/>
  </w:style>
  <w:style w:type="character" w:customStyle="1" w:styleId="68">
    <w:name w:val="cancellogin_btn"/>
    <w:basedOn w:val="14"/>
    <w:qFormat/>
    <w:uiPriority w:val="0"/>
  </w:style>
  <w:style w:type="character" w:customStyle="1" w:styleId="69">
    <w:name w:val="volumereceipt_btn"/>
    <w:basedOn w:val="14"/>
    <w:qFormat/>
    <w:uiPriority w:val="0"/>
  </w:style>
  <w:style w:type="character" w:customStyle="1" w:styleId="70">
    <w:name w:val="active4"/>
    <w:basedOn w:val="14"/>
    <w:qFormat/>
    <w:uiPriority w:val="0"/>
    <w:rPr>
      <w:color w:val="00FF00"/>
      <w:shd w:val="clear" w:fill="000000"/>
    </w:rPr>
  </w:style>
  <w:style w:type="character" w:customStyle="1" w:styleId="71">
    <w:name w:val="hilite"/>
    <w:basedOn w:val="14"/>
    <w:qFormat/>
    <w:uiPriority w:val="0"/>
    <w:rPr>
      <w:color w:val="FFFFFF"/>
      <w:shd w:val="clear" w:fill="666677"/>
    </w:rPr>
  </w:style>
  <w:style w:type="character" w:customStyle="1" w:styleId="72">
    <w:name w:val="borrowingtwocolumn_btn"/>
    <w:basedOn w:val="14"/>
    <w:qFormat/>
    <w:uiPriority w:val="0"/>
  </w:style>
  <w:style w:type="character" w:customStyle="1" w:styleId="73">
    <w:name w:val="chuanchu_btn"/>
    <w:basedOn w:val="14"/>
    <w:qFormat/>
    <w:uiPriority w:val="0"/>
  </w:style>
  <w:style w:type="character" w:customStyle="1" w:styleId="74">
    <w:name w:val="bdgamt_btn"/>
    <w:basedOn w:val="14"/>
    <w:qFormat/>
    <w:uiPriority w:val="0"/>
  </w:style>
  <w:style w:type="character" w:customStyle="1" w:styleId="75">
    <w:name w:val="fullshow_btn"/>
    <w:basedOn w:val="14"/>
    <w:qFormat/>
    <w:uiPriority w:val="0"/>
  </w:style>
  <w:style w:type="character" w:customStyle="1" w:styleId="76">
    <w:name w:val="monthav_btn"/>
    <w:basedOn w:val="14"/>
    <w:qFormat/>
    <w:uiPriority w:val="0"/>
  </w:style>
  <w:style w:type="character" w:customStyle="1" w:styleId="77">
    <w:name w:val="enabled_btn"/>
    <w:basedOn w:val="14"/>
    <w:qFormat/>
    <w:uiPriority w:val="0"/>
  </w:style>
  <w:style w:type="character" w:customStyle="1" w:styleId="78">
    <w:name w:val="datapermission_btn"/>
    <w:basedOn w:val="14"/>
    <w:qFormat/>
    <w:uiPriority w:val="0"/>
  </w:style>
  <w:style w:type="character" w:customStyle="1" w:styleId="79">
    <w:name w:val="extend0_btn"/>
    <w:basedOn w:val="14"/>
    <w:qFormat/>
    <w:uiPriority w:val="0"/>
  </w:style>
  <w:style w:type="character" w:customStyle="1" w:styleId="80">
    <w:name w:val="starttocount_btn"/>
    <w:basedOn w:val="14"/>
    <w:qFormat/>
    <w:uiPriority w:val="0"/>
  </w:style>
  <w:style w:type="character" w:customStyle="1" w:styleId="81">
    <w:name w:val="cleartozero_btn"/>
    <w:basedOn w:val="14"/>
    <w:qFormat/>
    <w:uiPriority w:val="0"/>
  </w:style>
  <w:style w:type="character" w:customStyle="1" w:styleId="82">
    <w:name w:val="statisticsaudit_btn"/>
    <w:basedOn w:val="14"/>
    <w:qFormat/>
    <w:uiPriority w:val="0"/>
  </w:style>
  <w:style w:type="character" w:customStyle="1" w:styleId="83">
    <w:name w:val="returnlastpage_btn"/>
    <w:basedOn w:val="14"/>
    <w:qFormat/>
    <w:uiPriority w:val="0"/>
  </w:style>
  <w:style w:type="character" w:customStyle="1" w:styleId="84">
    <w:name w:val="addbatch_btn"/>
    <w:basedOn w:val="14"/>
    <w:qFormat/>
    <w:uiPriority w:val="0"/>
  </w:style>
  <w:style w:type="character" w:customStyle="1" w:styleId="85">
    <w:name w:val="totop_btn"/>
    <w:basedOn w:val="14"/>
    <w:qFormat/>
    <w:uiPriority w:val="0"/>
  </w:style>
  <w:style w:type="character" w:customStyle="1" w:styleId="86">
    <w:name w:val="ismodify_btn"/>
    <w:basedOn w:val="14"/>
    <w:qFormat/>
    <w:uiPriority w:val="0"/>
  </w:style>
  <w:style w:type="character" w:customStyle="1" w:styleId="87">
    <w:name w:val="adjustbatch_btn"/>
    <w:basedOn w:val="14"/>
    <w:qFormat/>
    <w:uiPriority w:val="0"/>
  </w:style>
  <w:style w:type="character" w:customStyle="1" w:styleId="88">
    <w:name w:val="grading_btn"/>
    <w:basedOn w:val="14"/>
    <w:qFormat/>
    <w:uiPriority w:val="0"/>
  </w:style>
  <w:style w:type="character" w:customStyle="1" w:styleId="89">
    <w:name w:val="adddown_btn"/>
    <w:basedOn w:val="14"/>
    <w:qFormat/>
    <w:uiPriority w:val="0"/>
  </w:style>
  <w:style w:type="character" w:customStyle="1" w:styleId="90">
    <w:name w:val="sendmassage_btn"/>
    <w:basedOn w:val="14"/>
    <w:qFormat/>
    <w:uiPriority w:val="0"/>
  </w:style>
  <w:style w:type="character" w:customStyle="1" w:styleId="91">
    <w:name w:val="detail_btn"/>
    <w:basedOn w:val="14"/>
    <w:qFormat/>
    <w:uiPriority w:val="0"/>
  </w:style>
  <w:style w:type="character" w:customStyle="1" w:styleId="92">
    <w:name w:val="goback_off_btn"/>
    <w:basedOn w:val="14"/>
    <w:qFormat/>
    <w:uiPriority w:val="0"/>
  </w:style>
  <w:style w:type="character" w:customStyle="1" w:styleId="93">
    <w:name w:val="save_btn"/>
    <w:basedOn w:val="14"/>
    <w:qFormat/>
    <w:uiPriority w:val="0"/>
  </w:style>
  <w:style w:type="character" w:customStyle="1" w:styleId="94">
    <w:name w:val="save_btn1"/>
    <w:basedOn w:val="14"/>
    <w:qFormat/>
    <w:uiPriority w:val="0"/>
  </w:style>
  <w:style w:type="character" w:customStyle="1" w:styleId="95">
    <w:name w:val="vchshow_btn"/>
    <w:basedOn w:val="14"/>
    <w:qFormat/>
    <w:uiPriority w:val="0"/>
  </w:style>
  <w:style w:type="character" w:customStyle="1" w:styleId="96">
    <w:name w:val="borrowingonecolumn_btn"/>
    <w:basedOn w:val="14"/>
    <w:qFormat/>
    <w:uiPriority w:val="0"/>
  </w:style>
  <w:style w:type="character" w:customStyle="1" w:styleId="97">
    <w:name w:val="quarterav_btn"/>
    <w:basedOn w:val="14"/>
    <w:qFormat/>
    <w:uiPriority w:val="0"/>
  </w:style>
  <w:style w:type="character" w:customStyle="1" w:styleId="98">
    <w:name w:val="printsalary_btn"/>
    <w:basedOn w:val="14"/>
    <w:qFormat/>
    <w:uiPriority w:val="0"/>
  </w:style>
  <w:style w:type="character" w:customStyle="1" w:styleId="99">
    <w:name w:val="show_btn"/>
    <w:basedOn w:val="14"/>
    <w:qFormat/>
    <w:uiPriority w:val="0"/>
  </w:style>
  <w:style w:type="character" w:customStyle="1" w:styleId="100">
    <w:name w:val="summary_btn"/>
    <w:basedOn w:val="14"/>
    <w:qFormat/>
    <w:uiPriority w:val="0"/>
  </w:style>
  <w:style w:type="character" w:customStyle="1" w:styleId="101">
    <w:name w:val="noprint_btn"/>
    <w:basedOn w:val="14"/>
    <w:qFormat/>
    <w:uiPriority w:val="0"/>
  </w:style>
  <w:style w:type="character" w:customStyle="1" w:styleId="102">
    <w:name w:val="neededdone_btn"/>
    <w:basedOn w:val="14"/>
    <w:qFormat/>
    <w:uiPriority w:val="0"/>
  </w:style>
  <w:style w:type="character" w:customStyle="1" w:styleId="103">
    <w:name w:val="noreturn_btn"/>
    <w:basedOn w:val="14"/>
    <w:qFormat/>
    <w:uiPriority w:val="0"/>
  </w:style>
  <w:style w:type="character" w:customStyle="1" w:styleId="104">
    <w:name w:val="induction_btn"/>
    <w:basedOn w:val="14"/>
    <w:qFormat/>
    <w:uiPriority w:val="0"/>
  </w:style>
  <w:style w:type="character" w:customStyle="1" w:styleId="105">
    <w:name w:val="clear_btn"/>
    <w:basedOn w:val="14"/>
    <w:qFormat/>
    <w:uiPriority w:val="0"/>
  </w:style>
  <w:style w:type="character" w:customStyle="1" w:styleId="106">
    <w:name w:val="archive_btn"/>
    <w:basedOn w:val="14"/>
    <w:qFormat/>
    <w:uiPriority w:val="0"/>
  </w:style>
  <w:style w:type="character" w:customStyle="1" w:styleId="107">
    <w:name w:val="add_btn"/>
    <w:basedOn w:val="14"/>
    <w:qFormat/>
    <w:uiPriority w:val="0"/>
  </w:style>
  <w:style w:type="character" w:customStyle="1" w:styleId="108">
    <w:name w:val="mod_btn"/>
    <w:basedOn w:val="14"/>
    <w:qFormat/>
    <w:uiPriority w:val="0"/>
  </w:style>
  <w:style w:type="character" w:customStyle="1" w:styleId="109">
    <w:name w:val="nogoaudit_btn"/>
    <w:basedOn w:val="14"/>
    <w:qFormat/>
    <w:uiPriority w:val="0"/>
  </w:style>
  <w:style w:type="character" w:customStyle="1" w:styleId="110">
    <w:name w:val="view_btn"/>
    <w:basedOn w:val="14"/>
    <w:qFormat/>
    <w:uiPriority w:val="0"/>
  </w:style>
  <w:style w:type="character" w:customStyle="1" w:styleId="111">
    <w:name w:val="del_btn"/>
    <w:basedOn w:val="14"/>
    <w:qFormat/>
    <w:uiPriority w:val="0"/>
  </w:style>
  <w:style w:type="character" w:customStyle="1" w:styleId="112">
    <w:name w:val="sendsalaries_btn"/>
    <w:basedOn w:val="14"/>
    <w:qFormat/>
    <w:uiPriority w:val="0"/>
  </w:style>
  <w:style w:type="character" w:customStyle="1" w:styleId="113">
    <w:name w:val="toaudit_btn"/>
    <w:basedOn w:val="14"/>
    <w:qFormat/>
    <w:uiPriority w:val="0"/>
  </w:style>
  <w:style w:type="character" w:customStyle="1" w:styleId="114">
    <w:name w:val="print_btn"/>
    <w:basedOn w:val="14"/>
    <w:qFormat/>
    <w:uiPriority w:val="0"/>
  </w:style>
  <w:style w:type="character" w:customStyle="1" w:styleId="115">
    <w:name w:val="notoaudit_btn"/>
    <w:basedOn w:val="14"/>
    <w:qFormat/>
    <w:uiPriority w:val="0"/>
  </w:style>
  <w:style w:type="character" w:customStyle="1" w:styleId="116">
    <w:name w:val="noliquidation_btn"/>
    <w:basedOn w:val="14"/>
    <w:qFormat/>
    <w:uiPriority w:val="0"/>
  </w:style>
  <w:style w:type="character" w:customStyle="1" w:styleId="117">
    <w:name w:val="jianrow_btn"/>
    <w:basedOn w:val="14"/>
    <w:qFormat/>
    <w:uiPriority w:val="0"/>
  </w:style>
  <w:style w:type="character" w:customStyle="1" w:styleId="118">
    <w:name w:val="switch_btn"/>
    <w:basedOn w:val="14"/>
    <w:qFormat/>
    <w:uiPriority w:val="0"/>
  </w:style>
  <w:style w:type="character" w:customStyle="1" w:styleId="119">
    <w:name w:val="goaudit_btn"/>
    <w:basedOn w:val="14"/>
    <w:qFormat/>
    <w:uiPriority w:val="0"/>
  </w:style>
  <w:style w:type="character" w:customStyle="1" w:styleId="120">
    <w:name w:val="generation_btn"/>
    <w:basedOn w:val="14"/>
    <w:qFormat/>
    <w:uiPriority w:val="0"/>
  </w:style>
  <w:style w:type="character" w:customStyle="1" w:styleId="121">
    <w:name w:val="nogeneration_btn"/>
    <w:basedOn w:val="14"/>
    <w:qFormat/>
    <w:uiPriority w:val="0"/>
  </w:style>
  <w:style w:type="character" w:customStyle="1" w:styleId="122">
    <w:name w:val="salaryview_btn"/>
    <w:basedOn w:val="14"/>
    <w:qFormat/>
    <w:uiPriority w:val="0"/>
  </w:style>
  <w:style w:type="character" w:customStyle="1" w:styleId="123">
    <w:name w:val="auditinfo_btn"/>
    <w:basedOn w:val="14"/>
    <w:qFormat/>
    <w:uiPriority w:val="0"/>
  </w:style>
  <w:style w:type="character" w:customStyle="1" w:styleId="124">
    <w:name w:val="close_btn"/>
    <w:basedOn w:val="14"/>
    <w:qFormat/>
    <w:uiPriority w:val="0"/>
  </w:style>
  <w:style w:type="character" w:customStyle="1" w:styleId="125">
    <w:name w:val="ryeard_btn"/>
    <w:basedOn w:val="14"/>
    <w:qFormat/>
    <w:uiPriority w:val="0"/>
  </w:style>
  <w:style w:type="character" w:customStyle="1" w:styleId="126">
    <w:name w:val="newprint_btn"/>
    <w:basedOn w:val="14"/>
    <w:qFormat/>
    <w:uiPriority w:val="0"/>
  </w:style>
  <w:style w:type="character" w:customStyle="1" w:styleId="127">
    <w:name w:val="cancel_btn"/>
    <w:basedOn w:val="14"/>
    <w:qFormat/>
    <w:uiPriority w:val="0"/>
  </w:style>
  <w:style w:type="character" w:customStyle="1" w:styleId="128">
    <w:name w:val="totrace_btn"/>
    <w:basedOn w:val="14"/>
    <w:qFormat/>
    <w:uiPriority w:val="0"/>
  </w:style>
  <w:style w:type="character" w:customStyle="1" w:styleId="129">
    <w:name w:val="copyplay_btn"/>
    <w:basedOn w:val="14"/>
    <w:qFormat/>
    <w:uiPriority w:val="0"/>
  </w:style>
  <w:style w:type="character" w:customStyle="1" w:styleId="130">
    <w:name w:val="excel_btn"/>
    <w:basedOn w:val="14"/>
    <w:qFormat/>
    <w:uiPriority w:val="0"/>
  </w:style>
  <w:style w:type="character" w:customStyle="1" w:styleId="131">
    <w:name w:val="inductionsalary_btn"/>
    <w:basedOn w:val="14"/>
    <w:qFormat/>
    <w:uiPriority w:val="0"/>
  </w:style>
  <w:style w:type="character" w:customStyle="1" w:styleId="132">
    <w:name w:val="login_btn"/>
    <w:basedOn w:val="14"/>
    <w:qFormat/>
    <w:uiPriority w:val="0"/>
  </w:style>
  <w:style w:type="character" w:customStyle="1" w:styleId="133">
    <w:name w:val="setprint_btn"/>
    <w:basedOn w:val="14"/>
    <w:qFormat/>
    <w:uiPriority w:val="0"/>
  </w:style>
  <w:style w:type="character" w:customStyle="1" w:styleId="134">
    <w:name w:val="norootaccount_btn"/>
    <w:basedOn w:val="14"/>
    <w:qFormat/>
    <w:uiPriority w:val="0"/>
  </w:style>
  <w:style w:type="character" w:customStyle="1" w:styleId="135">
    <w:name w:val="yeard_btn"/>
    <w:basedOn w:val="14"/>
    <w:qFormat/>
    <w:uiPriority w:val="0"/>
  </w:style>
  <w:style w:type="character" w:customStyle="1" w:styleId="136">
    <w:name w:val="reversalcertificate_btn"/>
    <w:basedOn w:val="14"/>
    <w:qFormat/>
    <w:uiPriority w:val="0"/>
  </w:style>
  <w:style w:type="character" w:customStyle="1" w:styleId="137">
    <w:name w:val="reduce_btn"/>
    <w:basedOn w:val="14"/>
    <w:qFormat/>
    <w:uiPriority w:val="0"/>
  </w:style>
  <w:style w:type="character" w:customStyle="1" w:styleId="138">
    <w:name w:val="generationandgoon_btn"/>
    <w:basedOn w:val="14"/>
    <w:qFormat/>
    <w:uiPriority w:val="0"/>
  </w:style>
  <w:style w:type="character" w:customStyle="1" w:styleId="139">
    <w:name w:val="advancedquery_btn"/>
    <w:basedOn w:val="14"/>
    <w:qFormat/>
    <w:uiPriority w:val="0"/>
  </w:style>
  <w:style w:type="character" w:customStyle="1" w:styleId="140">
    <w:name w:val="rootaccount_btn"/>
    <w:basedOn w:val="14"/>
    <w:qFormat/>
    <w:uiPriority w:val="0"/>
  </w:style>
  <w:style w:type="character" w:customStyle="1" w:styleId="141">
    <w:name w:val="split_btn"/>
    <w:basedOn w:val="14"/>
    <w:qFormat/>
    <w:uiPriority w:val="0"/>
  </w:style>
  <w:style w:type="character" w:customStyle="1" w:styleId="142">
    <w:name w:val="returnhigher_btn"/>
    <w:basedOn w:val="14"/>
    <w:qFormat/>
    <w:uiPriority w:val="0"/>
  </w:style>
  <w:style w:type="character" w:customStyle="1" w:styleId="143">
    <w:name w:val="assetmaintenance_btn"/>
    <w:basedOn w:val="14"/>
    <w:qFormat/>
    <w:uiPriority w:val="0"/>
  </w:style>
  <w:style w:type="character" w:customStyle="1" w:styleId="144">
    <w:name w:val="drop_btn"/>
    <w:basedOn w:val="14"/>
    <w:qFormat/>
    <w:uiPriority w:val="0"/>
  </w:style>
  <w:style w:type="character" w:customStyle="1" w:styleId="145">
    <w:name w:val="restore_btn"/>
    <w:basedOn w:val="14"/>
    <w:qFormat/>
    <w:uiPriority w:val="0"/>
  </w:style>
  <w:style w:type="character" w:customStyle="1" w:styleId="146">
    <w:name w:val="distribution_btn"/>
    <w:basedOn w:val="14"/>
    <w:qFormat/>
    <w:uiPriority w:val="0"/>
  </w:style>
  <w:style w:type="character" w:customStyle="1" w:styleId="147">
    <w:name w:val="disable_btn"/>
    <w:basedOn w:val="14"/>
    <w:qFormat/>
    <w:uiPriority w:val="0"/>
  </w:style>
  <w:style w:type="character" w:customStyle="1" w:styleId="148">
    <w:name w:val="addsame_btn"/>
    <w:basedOn w:val="14"/>
    <w:qFormat/>
    <w:uiPriority w:val="0"/>
  </w:style>
  <w:style w:type="character" w:customStyle="1" w:styleId="149">
    <w:name w:val="changenote_btn"/>
    <w:basedOn w:val="14"/>
    <w:qFormat/>
    <w:uiPriority w:val="0"/>
  </w:style>
  <w:style w:type="character" w:customStyle="1" w:styleId="150">
    <w:name w:val="adjust_btn"/>
    <w:basedOn w:val="14"/>
    <w:qFormat/>
    <w:uiPriority w:val="0"/>
  </w:style>
  <w:style w:type="character" w:customStyle="1" w:styleId="151">
    <w:name w:val="notetypedef_btn"/>
    <w:basedOn w:val="14"/>
    <w:qFormat/>
    <w:uiPriority w:val="0"/>
  </w:style>
  <w:style w:type="character" w:customStyle="1" w:styleId="152">
    <w:name w:val="receipt_btn"/>
    <w:basedOn w:val="14"/>
    <w:qFormat/>
    <w:uiPriority w:val="0"/>
  </w:style>
  <w:style w:type="character" w:customStyle="1" w:styleId="153">
    <w:name w:val="rechuanchu_btn"/>
    <w:basedOn w:val="14"/>
    <w:qFormat/>
    <w:uiPriority w:val="0"/>
  </w:style>
  <w:style w:type="character" w:customStyle="1" w:styleId="154">
    <w:name w:val="extend_btn"/>
    <w:basedOn w:val="14"/>
    <w:qFormat/>
    <w:uiPriority w:val="0"/>
  </w:style>
  <w:style w:type="character" w:customStyle="1" w:styleId="155">
    <w:name w:val="hedui_btn"/>
    <w:basedOn w:val="14"/>
    <w:qFormat/>
    <w:uiPriority w:val="0"/>
  </w:style>
  <w:style w:type="character" w:customStyle="1" w:styleId="156">
    <w:name w:val="ok_btn"/>
    <w:basedOn w:val="14"/>
    <w:qFormat/>
    <w:uiPriority w:val="0"/>
  </w:style>
  <w:style w:type="character" w:customStyle="1" w:styleId="157">
    <w:name w:val="certification_btn"/>
    <w:basedOn w:val="14"/>
    <w:qFormat/>
    <w:uiPriority w:val="0"/>
  </w:style>
  <w:style w:type="character" w:customStyle="1" w:styleId="158">
    <w:name w:val="singlekill_btn"/>
    <w:basedOn w:val="14"/>
    <w:qFormat/>
    <w:uiPriority w:val="0"/>
  </w:style>
  <w:style w:type="character" w:customStyle="1" w:styleId="159">
    <w:name w:val="jointquery_btn"/>
    <w:basedOn w:val="14"/>
    <w:qFormat/>
    <w:uiPriority w:val="0"/>
  </w:style>
  <w:style w:type="character" w:customStyle="1" w:styleId="160">
    <w:name w:val="currentissue_btn"/>
    <w:basedOn w:val="14"/>
    <w:qFormat/>
    <w:uiPriority w:val="0"/>
  </w:style>
  <w:style w:type="character" w:customStyle="1" w:styleId="161">
    <w:name w:val="cumulative_btn"/>
    <w:basedOn w:val="14"/>
    <w:qFormat/>
    <w:uiPriority w:val="0"/>
  </w:style>
  <w:style w:type="character" w:customStyle="1" w:styleId="162">
    <w:name w:val="screening_btn"/>
    <w:basedOn w:val="14"/>
    <w:qFormat/>
    <w:uiPriority w:val="0"/>
  </w:style>
  <w:style w:type="character" w:customStyle="1" w:styleId="163">
    <w:name w:val="state_btn"/>
    <w:basedOn w:val="14"/>
    <w:qFormat/>
    <w:uiPriority w:val="0"/>
  </w:style>
  <w:style w:type="character" w:customStyle="1" w:styleId="164">
    <w:name w:val="additionalmonth_btn"/>
    <w:basedOn w:val="14"/>
    <w:qFormat/>
    <w:uiPriority w:val="0"/>
  </w:style>
  <w:style w:type="character" w:customStyle="1" w:styleId="165">
    <w:name w:val="flip_btn"/>
    <w:basedOn w:val="14"/>
    <w:qFormat/>
    <w:uiPriority w:val="0"/>
  </w:style>
  <w:style w:type="character" w:customStyle="1" w:styleId="166">
    <w:name w:val="changenotes_btn"/>
    <w:basedOn w:val="14"/>
    <w:qFormat/>
    <w:uiPriority w:val="0"/>
  </w:style>
  <w:style w:type="character" w:customStyle="1" w:styleId="167">
    <w:name w:val="documents_btn"/>
    <w:basedOn w:val="14"/>
    <w:qFormat/>
    <w:uiPriority w:val="0"/>
  </w:style>
  <w:style w:type="character" w:customStyle="1" w:styleId="168">
    <w:name w:val="list_btn"/>
    <w:basedOn w:val="14"/>
    <w:qFormat/>
    <w:uiPriority w:val="0"/>
  </w:style>
  <w:style w:type="character" w:customStyle="1" w:styleId="169">
    <w:name w:val="sourceonly_btn"/>
    <w:basedOn w:val="14"/>
    <w:qFormat/>
    <w:uiPriority w:val="0"/>
  </w:style>
  <w:style w:type="character" w:customStyle="1" w:styleId="170">
    <w:name w:val="template_btn"/>
    <w:basedOn w:val="14"/>
    <w:qFormat/>
    <w:uiPriority w:val="0"/>
  </w:style>
  <w:style w:type="character" w:customStyle="1" w:styleId="171">
    <w:name w:val="receiptshow_btn"/>
    <w:basedOn w:val="14"/>
    <w:qFormat/>
    <w:uiPriority w:val="0"/>
  </w:style>
  <w:style w:type="character" w:customStyle="1" w:styleId="172">
    <w:name w:val="noticeshow_btn"/>
    <w:basedOn w:val="14"/>
    <w:qFormat/>
    <w:uiPriority w:val="0"/>
  </w:style>
  <w:style w:type="character" w:customStyle="1" w:styleId="173">
    <w:name w:val="ordercorresponding_btn"/>
    <w:basedOn w:val="14"/>
    <w:qFormat/>
    <w:uiPriority w:val="0"/>
  </w:style>
  <w:style w:type="character" w:customStyle="1" w:styleId="174">
    <w:name w:val="d_in_btn"/>
    <w:basedOn w:val="14"/>
    <w:qFormat/>
    <w:uiPriority w:val="0"/>
  </w:style>
  <w:style w:type="character" w:customStyle="1" w:styleId="175">
    <w:name w:val="retired_btn"/>
    <w:basedOn w:val="14"/>
    <w:qFormat/>
    <w:uiPriority w:val="0"/>
  </w:style>
  <w:style w:type="character" w:customStyle="1" w:styleId="176">
    <w:name w:val="off_btn"/>
    <w:basedOn w:val="14"/>
    <w:qFormat/>
    <w:uiPriority w:val="0"/>
  </w:style>
  <w:style w:type="character" w:customStyle="1" w:styleId="177">
    <w:name w:val="redoreceive_btn"/>
    <w:basedOn w:val="14"/>
    <w:qFormat/>
    <w:uiPriority w:val="0"/>
  </w:style>
  <w:style w:type="character" w:customStyle="1" w:styleId="178">
    <w:name w:val="refresh_btn"/>
    <w:basedOn w:val="14"/>
    <w:qFormat/>
    <w:uiPriority w:val="0"/>
  </w:style>
  <w:style w:type="character" w:customStyle="1" w:styleId="179">
    <w:name w:val="setconditions_btn"/>
    <w:basedOn w:val="14"/>
    <w:qFormat/>
    <w:uiPriority w:val="0"/>
  </w:style>
  <w:style w:type="character" w:customStyle="1" w:styleId="180">
    <w:name w:val="setlegend_btn"/>
    <w:basedOn w:val="14"/>
    <w:qFormat/>
    <w:uiPriority w:val="0"/>
  </w:style>
  <w:style w:type="character" w:customStyle="1" w:styleId="181">
    <w:name w:val="initialization_btn"/>
    <w:basedOn w:val="14"/>
    <w:qFormat/>
    <w:uiPriority w:val="0"/>
  </w:style>
  <w:style w:type="character" w:customStyle="1" w:styleId="182">
    <w:name w:val="onlyread_btn"/>
    <w:basedOn w:val="14"/>
    <w:qFormat/>
    <w:uiPriority w:val="0"/>
  </w:style>
  <w:style w:type="character" w:customStyle="1" w:styleId="183">
    <w:name w:val="personnelview_btn"/>
    <w:basedOn w:val="14"/>
    <w:qFormat/>
    <w:uiPriority w:val="0"/>
  </w:style>
  <w:style w:type="character" w:customStyle="1" w:styleId="184">
    <w:name w:val="certificatelist_btn"/>
    <w:basedOn w:val="14"/>
    <w:qFormat/>
    <w:uiPriority w:val="0"/>
  </w:style>
  <w:style w:type="character" w:customStyle="1" w:styleId="185">
    <w:name w:val="autocertificate_btn"/>
    <w:basedOn w:val="14"/>
    <w:qFormat/>
    <w:uiPriority w:val="0"/>
  </w:style>
  <w:style w:type="character" w:customStyle="1" w:styleId="186">
    <w:name w:val="orderset_btn"/>
    <w:basedOn w:val="14"/>
    <w:qFormat/>
    <w:uiPriority w:val="0"/>
  </w:style>
  <w:style w:type="character" w:customStyle="1" w:styleId="187">
    <w:name w:val="summaryconditions_btn"/>
    <w:basedOn w:val="14"/>
    <w:qFormat/>
    <w:uiPriority w:val="0"/>
  </w:style>
  <w:style w:type="character" w:customStyle="1" w:styleId="188">
    <w:name w:val="adjustorder_btn"/>
    <w:basedOn w:val="14"/>
    <w:qFormat/>
    <w:uiPriority w:val="0"/>
  </w:style>
  <w:style w:type="character" w:customStyle="1" w:styleId="189">
    <w:name w:val="helpnotice_btn"/>
    <w:basedOn w:val="14"/>
    <w:qFormat/>
    <w:uiPriority w:val="0"/>
  </w:style>
  <w:style w:type="character" w:customStyle="1" w:styleId="190">
    <w:name w:val="planamt_btn"/>
    <w:basedOn w:val="14"/>
    <w:qFormat/>
    <w:uiPriority w:val="0"/>
  </w:style>
  <w:style w:type="character" w:customStyle="1" w:styleId="191">
    <w:name w:val="addrow_btn"/>
    <w:basedOn w:val="14"/>
    <w:qFormat/>
    <w:uiPriority w:val="0"/>
  </w:style>
  <w:style w:type="character" w:customStyle="1" w:styleId="192">
    <w:name w:val="insertrow_btn"/>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750"/>
              <a:t>单位：万元</a:t>
            </a:r>
            <a:endParaRPr sz="750"/>
          </a:p>
        </c:rich>
      </c:tx>
      <c:layout>
        <c:manualLayout>
          <c:xMode val="edge"/>
          <c:yMode val="edge"/>
          <c:x val="0.822319622387053"/>
          <c:y val="0.0271186440677966"/>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收、支</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2017年</c:v>
                </c:pt>
                <c:pt idx="1">
                  <c:v>2018年</c:v>
                </c:pt>
              </c:strCache>
            </c:strRef>
          </c:cat>
          <c:val>
            <c:numRef>
              <c:f>Sheet1!$B$2:$B$3</c:f>
              <c:numCache>
                <c:formatCode>General</c:formatCode>
                <c:ptCount val="2"/>
                <c:pt idx="0">
                  <c:v>10573.03</c:v>
                </c:pt>
                <c:pt idx="1">
                  <c:v>10412.46</c:v>
                </c:pt>
              </c:numCache>
            </c:numRef>
          </c:val>
        </c:ser>
        <c:dLbls>
          <c:showLegendKey val="0"/>
          <c:showVal val="1"/>
          <c:showCatName val="0"/>
          <c:showSerName val="0"/>
          <c:showPercent val="0"/>
          <c:showBubbleSize val="0"/>
        </c:dLbls>
        <c:gapWidth val="219"/>
        <c:overlap val="-27"/>
        <c:axId val="908199534"/>
        <c:axId val="987970288"/>
      </c:barChart>
      <c:catAx>
        <c:axId val="90819953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7970288"/>
        <c:crosses val="autoZero"/>
        <c:auto val="1"/>
        <c:lblAlgn val="ctr"/>
        <c:lblOffset val="100"/>
        <c:noMultiLvlLbl val="0"/>
      </c:catAx>
      <c:valAx>
        <c:axId val="987970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819953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750"/>
              <a:t>单位：万元</a:t>
            </a:r>
            <a:endParaRPr sz="750"/>
          </a:p>
        </c:rich>
      </c:tx>
      <c:layout>
        <c:manualLayout>
          <c:xMode val="edge"/>
          <c:yMode val="edge"/>
          <c:x val="0.81683336158671"/>
          <c:y val="0.0321027287319422"/>
        </c:manualLayout>
      </c:layout>
      <c:overlay val="0"/>
      <c:spPr>
        <a:noFill/>
        <a:ln>
          <a:noFill/>
        </a:ln>
        <a:effectLst/>
      </c:spPr>
    </c:title>
    <c:autoTitleDeleted val="0"/>
    <c:plotArea>
      <c:layout>
        <c:manualLayout>
          <c:layoutTarget val="inner"/>
          <c:xMode val="edge"/>
          <c:yMode val="edge"/>
          <c:x val="0.113558052434457"/>
          <c:y val="0.103763783386425"/>
          <c:w val="0.428582129481006"/>
          <c:h val="0.785121293800539"/>
        </c:manualLayout>
      </c:layout>
      <c:pieChart>
        <c:varyColors val="1"/>
        <c:ser>
          <c:idx val="0"/>
          <c:order val="0"/>
          <c:tx>
            <c:strRef>
              <c:f>Sheet1!$B$1</c:f>
              <c:strCache>
                <c:ptCount val="1"/>
                <c:pt idx="0">
                  <c:v>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6"/>
              <c:layout>
                <c:manualLayout>
                  <c:x val="-0.0840769903131298"/>
                  <c:y val="0.02322451617658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Sheet1!$B$2:$B$8</c:f>
              <c:numCache>
                <c:formatCode>General</c:formatCode>
                <c:ptCount val="7"/>
                <c:pt idx="0">
                  <c:v>10412.38</c:v>
                </c:pt>
                <c:pt idx="1">
                  <c:v>0</c:v>
                </c:pt>
                <c:pt idx="2">
                  <c:v>0</c:v>
                </c:pt>
                <c:pt idx="3">
                  <c:v>0</c:v>
                </c:pt>
                <c:pt idx="4">
                  <c:v>0</c:v>
                </c:pt>
                <c:pt idx="5">
                  <c:v>0</c:v>
                </c:pt>
                <c:pt idx="6">
                  <c:v>0.08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750"/>
              <a:t>单位：万元</a:t>
            </a:r>
            <a:endParaRPr sz="750"/>
          </a:p>
        </c:rich>
      </c:tx>
      <c:layout>
        <c:manualLayout>
          <c:xMode val="edge"/>
          <c:yMode val="edge"/>
          <c:x val="0.801270737733851"/>
          <c:y val="0.0420010700909577"/>
        </c:manualLayout>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5590.57</c:v>
                </c:pt>
                <c:pt idx="1">
                  <c:v>4821.88</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750"/>
              <a:t>单位：万元</a:t>
            </a:r>
            <a:endParaRPr sz="750"/>
          </a:p>
        </c:rich>
      </c:tx>
      <c:layout>
        <c:manualLayout>
          <c:xMode val="edge"/>
          <c:yMode val="edge"/>
          <c:x val="0.81801079666285"/>
          <c:y val="0.026359600443951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财政拨款收、支</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2017年</c:v>
                </c:pt>
                <c:pt idx="1">
                  <c:v>2018年</c:v>
                </c:pt>
              </c:strCache>
            </c:strRef>
          </c:cat>
          <c:val>
            <c:numRef>
              <c:f>Sheet1!$B$2:$B$3</c:f>
              <c:numCache>
                <c:formatCode>General</c:formatCode>
                <c:ptCount val="2"/>
                <c:pt idx="0">
                  <c:v>10568.42</c:v>
                </c:pt>
                <c:pt idx="1">
                  <c:v>10412.38</c:v>
                </c:pt>
              </c:numCache>
            </c:numRef>
          </c:val>
        </c:ser>
        <c:dLbls>
          <c:showLegendKey val="0"/>
          <c:showVal val="1"/>
          <c:showCatName val="0"/>
          <c:showSerName val="0"/>
          <c:showPercent val="0"/>
          <c:showBubbleSize val="0"/>
        </c:dLbls>
        <c:gapWidth val="219"/>
        <c:overlap val="-27"/>
        <c:axId val="496455794"/>
        <c:axId val="73464316"/>
      </c:barChart>
      <c:catAx>
        <c:axId val="49645579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464316"/>
        <c:crosses val="autoZero"/>
        <c:auto val="1"/>
        <c:lblAlgn val="ctr"/>
        <c:lblOffset val="100"/>
        <c:noMultiLvlLbl val="0"/>
      </c:catAx>
      <c:valAx>
        <c:axId val="734643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45579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750"/>
              <a:t>单位：万元</a:t>
            </a:r>
            <a:endParaRPr sz="750"/>
          </a:p>
        </c:rich>
      </c:tx>
      <c:layout>
        <c:manualLayout>
          <c:xMode val="edge"/>
          <c:yMode val="edge"/>
          <c:x val="0.846377654931626"/>
          <c:y val="0.0296377607025247"/>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2017年</c:v>
                </c:pt>
                <c:pt idx="1">
                  <c:v>2018年</c:v>
                </c:pt>
              </c:strCache>
            </c:strRef>
          </c:cat>
          <c:val>
            <c:numRef>
              <c:f>Sheet1!$B$2:$B$3</c:f>
              <c:numCache>
                <c:formatCode>General</c:formatCode>
                <c:ptCount val="2"/>
                <c:pt idx="0">
                  <c:v>10568.42</c:v>
                </c:pt>
                <c:pt idx="1">
                  <c:v>10412.38</c:v>
                </c:pt>
              </c:numCache>
            </c:numRef>
          </c:val>
        </c:ser>
        <c:dLbls>
          <c:showLegendKey val="0"/>
          <c:showVal val="1"/>
          <c:showCatName val="0"/>
          <c:showSerName val="0"/>
          <c:showPercent val="0"/>
          <c:showBubbleSize val="0"/>
        </c:dLbls>
        <c:gapWidth val="219"/>
        <c:overlap val="-27"/>
        <c:axId val="392508265"/>
        <c:axId val="31222459"/>
      </c:barChart>
      <c:catAx>
        <c:axId val="39250826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222459"/>
        <c:crosses val="autoZero"/>
        <c:auto val="1"/>
        <c:lblAlgn val="ctr"/>
        <c:lblOffset val="100"/>
        <c:noMultiLvlLbl val="0"/>
      </c:catAx>
      <c:valAx>
        <c:axId val="312224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250826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750"/>
              <a:t>单位：万元</a:t>
            </a:r>
            <a:endParaRPr sz="750"/>
          </a:p>
        </c:rich>
      </c:tx>
      <c:layout>
        <c:manualLayout>
          <c:xMode val="edge"/>
          <c:yMode val="edge"/>
          <c:x val="0.818995815899582"/>
          <c:y val="0.0340812269241693"/>
        </c:manualLayout>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0.0339748953974895"/>
                  <c:y val="-0.045193978985442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7768370567826"/>
                  <c:y val="-0.036733526630604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857885868188149"/>
                  <c:y val="0.027021288049721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882675270795306"/>
                  <c:y val="0.014540172833483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一般公共服务支出</c:v>
                </c:pt>
                <c:pt idx="1">
                  <c:v>教育支出</c:v>
                </c:pt>
                <c:pt idx="2">
                  <c:v>科学技术支出</c:v>
                </c:pt>
                <c:pt idx="3">
                  <c:v>社会保障和就业支出</c:v>
                </c:pt>
                <c:pt idx="4">
                  <c:v>医疗卫生支出</c:v>
                </c:pt>
                <c:pt idx="5">
                  <c:v>资源勘探信息等支出</c:v>
                </c:pt>
                <c:pt idx="6">
                  <c:v>住房保障支出</c:v>
                </c:pt>
              </c:strCache>
            </c:strRef>
          </c:cat>
          <c:val>
            <c:numRef>
              <c:f>Sheet1!$B$2:$B$8</c:f>
              <c:numCache>
                <c:formatCode>General</c:formatCode>
                <c:ptCount val="7"/>
                <c:pt idx="0">
                  <c:v>0</c:v>
                </c:pt>
                <c:pt idx="1">
                  <c:v>47.79</c:v>
                </c:pt>
                <c:pt idx="2">
                  <c:v>584</c:v>
                </c:pt>
                <c:pt idx="3">
                  <c:v>2605.28</c:v>
                </c:pt>
                <c:pt idx="4">
                  <c:v>181.18</c:v>
                </c:pt>
                <c:pt idx="5">
                  <c:v>6400.17</c:v>
                </c:pt>
                <c:pt idx="6">
                  <c:v>593.96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750"/>
              <a:t>单位：万元</a:t>
            </a:r>
            <a:endParaRPr sz="750"/>
          </a:p>
        </c:rich>
      </c:tx>
      <c:layout>
        <c:manualLayout>
          <c:xMode val="edge"/>
          <c:yMode val="edge"/>
          <c:x val="0.801151315789474"/>
          <c:y val="0.0385228480340064"/>
        </c:manualLayout>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50.8</c:v>
                </c:pt>
                <c:pt idx="1">
                  <c:v>39.19</c:v>
                </c:pt>
                <c:pt idx="2">
                  <c:v>1.24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A39B13-9B89-4114-8BE3-5344B93C7A90}">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ScaleCrop>false</ScaleCrop>
  <LinksUpToDate>false</LinksUpToDate>
  <CharactersWithSpaces>9641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张煜欣</cp:lastModifiedBy>
  <cp:lastPrinted>2019-08-01T00:48:00Z</cp:lastPrinted>
  <dcterms:modified xsi:type="dcterms:W3CDTF">2021-06-17T08:24:14Z</dcterms:modified>
  <dc:title>四川省***</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