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2" w:lineRule="exact"/>
        <w:textAlignment w:val="auto"/>
        <w:outlineLvl w:val="0"/>
        <w:rPr>
          <w:rFonts w:hint="default" w:ascii="Times New Roman" w:hAnsi="Times New Roman" w:eastAsia="黑体" w:cs="Times New Roman"/>
          <w:color w:val="000000"/>
          <w:sz w:val="32"/>
          <w:szCs w:val="32"/>
        </w:rPr>
      </w:pPr>
      <w:bookmarkStart w:id="0" w:name="_Toc15306267"/>
    </w:p>
    <w:p>
      <w:pPr>
        <w:pStyle w:val="8"/>
        <w:rPr>
          <w:rFonts w:hint="default" w:ascii="Times New Roman" w:hAnsi="Times New Roman" w:eastAsia="黑体" w:cs="Times New Roman"/>
          <w:lang w:eastAsia="zh-CN"/>
        </w:rPr>
      </w:pPr>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adjustRightInd w:val="0"/>
        <w:snapToGrid w:val="0"/>
        <w:spacing w:line="360" w:lineRule="auto"/>
        <w:jc w:val="center"/>
        <w:outlineLvl w:val="0"/>
        <w:rPr>
          <w:rFonts w:hint="default" w:ascii="Times New Roman" w:hAnsi="Times New Roman" w:eastAsia="方正小标宋简体" w:cs="Times New Roman"/>
          <w:b/>
          <w:bCs/>
          <w:color w:val="000000"/>
          <w:sz w:val="72"/>
          <w:szCs w:val="72"/>
        </w:rPr>
      </w:pPr>
      <w:bookmarkStart w:id="1" w:name="_Toc15378441"/>
      <w:bookmarkStart w:id="2" w:name="_Toc15396475"/>
      <w:bookmarkStart w:id="3" w:name="_Toc15396597"/>
      <w:bookmarkStart w:id="4" w:name="_Toc15377193"/>
      <w:bookmarkStart w:id="5" w:name="_Toc15377425"/>
      <w:r>
        <w:rPr>
          <w:rFonts w:hint="default" w:ascii="Times New Roman" w:hAnsi="Times New Roman" w:eastAsia="方正小标宋简体" w:cs="Times New Roman"/>
          <w:b/>
          <w:bCs/>
          <w:color w:val="000000"/>
          <w:sz w:val="72"/>
          <w:szCs w:val="72"/>
        </w:rPr>
        <w:t>2020年度</w:t>
      </w:r>
      <w:bookmarkEnd w:id="1"/>
      <w:bookmarkEnd w:id="2"/>
      <w:bookmarkEnd w:id="3"/>
      <w:bookmarkEnd w:id="4"/>
      <w:bookmarkEnd w:id="5"/>
    </w:p>
    <w:p>
      <w:pPr>
        <w:adjustRightInd w:val="0"/>
        <w:snapToGrid w:val="0"/>
        <w:spacing w:line="360" w:lineRule="auto"/>
        <w:jc w:val="center"/>
        <w:outlineLvl w:val="0"/>
        <w:rPr>
          <w:rFonts w:hint="default" w:ascii="Times New Roman" w:hAnsi="Times New Roman" w:eastAsia="方正小标宋简体" w:cs="Times New Roman"/>
          <w:b/>
          <w:bCs/>
          <w:color w:val="000000"/>
          <w:sz w:val="72"/>
          <w:szCs w:val="72"/>
        </w:rPr>
      </w:pPr>
      <w:bookmarkStart w:id="6" w:name="_Toc15378442"/>
      <w:bookmarkStart w:id="7" w:name="_Toc15396598"/>
      <w:bookmarkStart w:id="8" w:name="_Toc15377426"/>
      <w:bookmarkStart w:id="9" w:name="_Toc15377194"/>
      <w:bookmarkStart w:id="10" w:name="_Toc15396476"/>
      <w:r>
        <w:rPr>
          <w:rFonts w:hint="default" w:ascii="Times New Roman" w:hAnsi="Times New Roman" w:eastAsia="方正小标宋简体" w:cs="Times New Roman"/>
          <w:b/>
          <w:bCs/>
          <w:color w:val="000000"/>
          <w:sz w:val="72"/>
          <w:szCs w:val="72"/>
        </w:rPr>
        <w:t>四川省</w:t>
      </w:r>
      <w:bookmarkEnd w:id="0"/>
      <w:bookmarkStart w:id="11" w:name="_Toc15306268"/>
      <w:r>
        <w:rPr>
          <w:rFonts w:hint="default" w:ascii="Times New Roman" w:hAnsi="Times New Roman" w:eastAsia="方正小标宋简体" w:cs="Times New Roman"/>
          <w:b/>
          <w:bCs/>
          <w:color w:val="000000"/>
          <w:sz w:val="72"/>
          <w:szCs w:val="72"/>
        </w:rPr>
        <w:t>政府国有资产监督管理委员会部门决算</w:t>
      </w:r>
      <w:bookmarkEnd w:id="6"/>
      <w:bookmarkEnd w:id="7"/>
      <w:bookmarkEnd w:id="8"/>
      <w:bookmarkEnd w:id="9"/>
      <w:bookmarkEnd w:id="10"/>
      <w:bookmarkEnd w:id="11"/>
    </w:p>
    <w:p>
      <w:pPr>
        <w:widowControl/>
        <w:jc w:val="center"/>
        <w:rPr>
          <w:rFonts w:hint="default" w:ascii="Times New Roman" w:hAnsi="Times New Roman" w:eastAsia="方正小标宋简体" w:cs="Times New Roman"/>
          <w:b/>
          <w:bCs/>
          <w:color w:val="000000"/>
          <w:sz w:val="44"/>
          <w:szCs w:val="44"/>
        </w:rPr>
      </w:pPr>
      <w:r>
        <w:rPr>
          <w:rFonts w:hint="default" w:ascii="Times New Roman" w:hAnsi="Times New Roman" w:eastAsia="方正小标宋简体" w:cs="Times New Roman"/>
          <w:color w:val="000000"/>
          <w:sz w:val="36"/>
          <w:szCs w:val="36"/>
        </w:rPr>
        <w:br w:type="page"/>
      </w:r>
      <w:r>
        <w:rPr>
          <w:rFonts w:hint="default" w:ascii="Times New Roman" w:hAnsi="Times New Roman" w:eastAsia="方正小标宋简体" w:cs="Times New Roman"/>
          <w:b/>
          <w:bCs/>
          <w:color w:val="000000"/>
          <w:sz w:val="44"/>
          <w:szCs w:val="44"/>
        </w:rPr>
        <w:t>目  录</w:t>
      </w:r>
    </w:p>
    <w:p>
      <w:pPr>
        <w:pStyle w:val="13"/>
        <w:spacing w:before="0" w:line="570" w:lineRule="exact"/>
        <w:rPr>
          <w:rFonts w:hint="default" w:ascii="Times New Roman" w:hAnsi="Times New Roman" w:eastAsia="楷体_GB2312" w:cs="Times New Roman"/>
          <w:b/>
          <w:bCs/>
        </w:rPr>
      </w:pPr>
      <w:r>
        <w:rPr>
          <w:rFonts w:hint="default" w:ascii="Times New Roman" w:hAnsi="Times New Roman" w:eastAsia="楷体_GB2312" w:cs="Times New Roman"/>
          <w:b/>
          <w:bCs/>
        </w:rPr>
        <w:t>公开时间：2021年8月30日</w:t>
      </w:r>
    </w:p>
    <w:p>
      <w:pPr>
        <w:spacing w:line="570" w:lineRule="exact"/>
        <w:rPr>
          <w:rFonts w:hint="default" w:ascii="Times New Roman" w:hAnsi="Times New Roman" w:cs="Times New Roman"/>
        </w:rPr>
      </w:pPr>
      <w:bookmarkStart w:id="12" w:name="_Toc15396599"/>
      <w:bookmarkStart w:id="13" w:name="_Toc15377196"/>
    </w:p>
    <w:p>
      <w:pPr>
        <w:keepNext w:val="0"/>
        <w:keepLines w:val="0"/>
        <w:pageBreakBefore w:val="0"/>
        <w:widowControl w:val="0"/>
        <w:tabs>
          <w:tab w:val="right" w:leader="dot" w:pos="8296"/>
        </w:tabs>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"_Toc15396599"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第一部分 部门概况</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fldChar w:fldCharType="end"/>
      </w:r>
    </w:p>
    <w:p>
      <w:pPr>
        <w:tabs>
          <w:tab w:val="right" w:leader="dot" w:pos="8296"/>
        </w:tabs>
        <w:spacing w:line="570" w:lineRule="exact"/>
        <w:ind w:firstLine="420" w:firstLineChars="200"/>
        <w:rPr>
          <w:rFonts w:hint="default" w:ascii="Times New Roman" w:hAnsi="Times New Roman" w:eastAsia="仿宋_GB2312"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"_Toc15396600"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一、基本职能及主要工作</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fldChar w:fldCharType="end"/>
      </w:r>
    </w:p>
    <w:p>
      <w:pPr>
        <w:tabs>
          <w:tab w:val="right" w:leader="dot" w:pos="8296"/>
        </w:tabs>
        <w:spacing w:line="570" w:lineRule="exact"/>
        <w:ind w:firstLine="420" w:firstLineChars="200"/>
        <w:rPr>
          <w:rFonts w:hint="default" w:ascii="Times New Roman" w:hAnsi="Times New Roman" w:eastAsia="仿宋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"_Toc15396601"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二、机构设置</w:t>
      </w:r>
      <w:r>
        <w:rPr>
          <w:rFonts w:hint="default" w:ascii="Times New Roman" w:hAnsi="Times New Roman" w:eastAsia="仿宋_GB2312" w:cs="Times New Roman"/>
          <w:sz w:val="28"/>
          <w:szCs w:val="28"/>
        </w:rPr>
        <w:tab/>
      </w:r>
      <w:r>
        <w:rPr>
          <w:rFonts w:hint="eastAsia" w:eastAsia="仿宋_GB2312" w:cs="Times New Roman"/>
          <w:sz w:val="28"/>
          <w:szCs w:val="28"/>
          <w:lang w:val="en-US" w:eastAsia="zh-CN"/>
        </w:rPr>
        <w:t>9</w:t>
      </w:r>
      <w:r>
        <w:rPr>
          <w:rFonts w:hint="default" w:ascii="Times New Roman" w:hAnsi="Times New Roman" w:eastAsia="仿宋_GB2312" w:cs="Times New Roman"/>
          <w:sz w:val="28"/>
          <w:szCs w:val="28"/>
        </w:rPr>
        <w:fldChar w:fldCharType="end"/>
      </w:r>
    </w:p>
    <w:p>
      <w:pPr>
        <w:keepNext w:val="0"/>
        <w:keepLines w:val="0"/>
        <w:pageBreakBefore w:val="0"/>
        <w:widowControl w:val="0"/>
        <w:tabs>
          <w:tab w:val="right" w:leader="dot" w:pos="8296"/>
        </w:tabs>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default" w:ascii="Times New Roman" w:hAnsi="Times New Roman" w:eastAsia="仿宋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"_Toc15396602"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第二部分 2020年度部门决算情况说明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
        </w:rPr>
        <w:t>1</w:t>
      </w:r>
    </w:p>
    <w:p>
      <w:pPr>
        <w:tabs>
          <w:tab w:val="right" w:leader="dot" w:pos="8296"/>
        </w:tabs>
        <w:spacing w:line="570" w:lineRule="exact"/>
        <w:ind w:firstLine="420" w:firstLineChars="200"/>
        <w:rPr>
          <w:rFonts w:hint="default" w:ascii="Times New Roman" w:hAnsi="Times New Roman" w:eastAsia="仿宋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"_Toc15396603" </w:instrText>
      </w:r>
      <w:r>
        <w:rPr>
          <w:rFonts w:hint="default" w:ascii="Times New Roman" w:hAnsi="Times New Roman" w:cs="Times New Roman"/>
        </w:rPr>
        <w:fldChar w:fldCharType="separate"/>
      </w:r>
      <w:r>
        <w:rPr>
          <w:rFonts w:hint="default" w:ascii="Times New Roman" w:hAnsi="Times New Roman" w:eastAsia="仿宋_GB2312" w:cs="Times New Roman"/>
          <w:bCs/>
          <w:sz w:val="28"/>
          <w:szCs w:val="28"/>
        </w:rPr>
        <w:t>一、</w:t>
      </w:r>
      <w:r>
        <w:rPr>
          <w:rFonts w:hint="default" w:ascii="Times New Roman" w:hAnsi="Times New Roman" w:eastAsia="仿宋_GB2312" w:cs="Times New Roman"/>
          <w:sz w:val="28"/>
          <w:szCs w:val="28"/>
        </w:rPr>
        <w:t>收</w:t>
      </w:r>
      <w:r>
        <w:rPr>
          <w:rFonts w:hint="default" w:ascii="Times New Roman" w:hAnsi="Times New Roman" w:eastAsia="仿宋_GB2312" w:cs="Times New Roman"/>
          <w:bCs/>
          <w:sz w:val="28"/>
          <w:szCs w:val="28"/>
        </w:rPr>
        <w:t>入支出决算总体情况说明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
        </w:rPr>
        <w:t>1</w:t>
      </w:r>
    </w:p>
    <w:p>
      <w:pPr>
        <w:tabs>
          <w:tab w:val="right" w:leader="dot" w:pos="8296"/>
        </w:tabs>
        <w:spacing w:line="570" w:lineRule="exact"/>
        <w:ind w:firstLine="420" w:firstLineChars="200"/>
        <w:rPr>
          <w:rFonts w:hint="default" w:ascii="Times New Roman" w:hAnsi="Times New Roman" w:eastAsia="仿宋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"_Toc15396604" </w:instrText>
      </w:r>
      <w:r>
        <w:rPr>
          <w:rFonts w:hint="default" w:ascii="Times New Roman" w:hAnsi="Times New Roman" w:cs="Times New Roman"/>
        </w:rPr>
        <w:fldChar w:fldCharType="separate"/>
      </w:r>
      <w:r>
        <w:rPr>
          <w:rFonts w:hint="default" w:ascii="Times New Roman" w:hAnsi="Times New Roman" w:eastAsia="仿宋_GB2312" w:cs="Times New Roman"/>
          <w:bCs/>
          <w:sz w:val="28"/>
          <w:szCs w:val="28"/>
        </w:rPr>
        <w:t>二、</w:t>
      </w:r>
      <w:r>
        <w:rPr>
          <w:rFonts w:hint="default" w:ascii="Times New Roman" w:hAnsi="Times New Roman" w:eastAsia="仿宋_GB2312" w:cs="Times New Roman"/>
          <w:sz w:val="28"/>
          <w:szCs w:val="28"/>
        </w:rPr>
        <w:t>收</w:t>
      </w:r>
      <w:r>
        <w:rPr>
          <w:rFonts w:hint="default" w:ascii="Times New Roman" w:hAnsi="Times New Roman" w:eastAsia="仿宋_GB2312" w:cs="Times New Roman"/>
          <w:bCs/>
          <w:sz w:val="28"/>
          <w:szCs w:val="28"/>
        </w:rPr>
        <w:t>入决算情况说明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
        </w:rPr>
        <w:t>1</w:t>
      </w:r>
    </w:p>
    <w:p>
      <w:pPr>
        <w:tabs>
          <w:tab w:val="right" w:leader="dot" w:pos="8296"/>
        </w:tabs>
        <w:spacing w:line="570" w:lineRule="exact"/>
        <w:ind w:firstLine="420" w:firstLineChars="200"/>
        <w:rPr>
          <w:rFonts w:hint="default" w:ascii="Times New Roman" w:hAnsi="Times New Roman" w:eastAsia="仿宋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"_Toc15396605" </w:instrText>
      </w:r>
      <w:r>
        <w:rPr>
          <w:rFonts w:hint="default" w:ascii="Times New Roman" w:hAnsi="Times New Roman" w:cs="Times New Roman"/>
        </w:rPr>
        <w:fldChar w:fldCharType="separate"/>
      </w:r>
      <w:r>
        <w:rPr>
          <w:rFonts w:hint="default" w:ascii="Times New Roman" w:hAnsi="Times New Roman" w:eastAsia="仿宋_GB2312" w:cs="Times New Roman"/>
          <w:bCs/>
          <w:sz w:val="28"/>
          <w:szCs w:val="28"/>
        </w:rPr>
        <w:t>三、</w:t>
      </w:r>
      <w:r>
        <w:rPr>
          <w:rFonts w:hint="default" w:ascii="Times New Roman" w:hAnsi="Times New Roman" w:eastAsia="仿宋_GB2312" w:cs="Times New Roman"/>
          <w:sz w:val="28"/>
          <w:szCs w:val="28"/>
        </w:rPr>
        <w:t>支</w:t>
      </w:r>
      <w:r>
        <w:rPr>
          <w:rFonts w:hint="default" w:ascii="Times New Roman" w:hAnsi="Times New Roman" w:eastAsia="仿宋_GB2312" w:cs="Times New Roman"/>
          <w:bCs/>
          <w:sz w:val="28"/>
          <w:szCs w:val="28"/>
        </w:rPr>
        <w:t>出决算情况说明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
        </w:rPr>
        <w:t>2</w:t>
      </w:r>
    </w:p>
    <w:p>
      <w:pPr>
        <w:tabs>
          <w:tab w:val="right" w:leader="dot" w:pos="8296"/>
        </w:tabs>
        <w:spacing w:line="570" w:lineRule="exact"/>
        <w:ind w:firstLine="420" w:firstLineChars="200"/>
        <w:rPr>
          <w:rFonts w:hint="default" w:ascii="Times New Roman" w:hAnsi="Times New Roman" w:eastAsia="仿宋_GB2312"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"_Toc15396606"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四、财</w:t>
      </w:r>
      <w:r>
        <w:rPr>
          <w:rFonts w:hint="default" w:ascii="Times New Roman" w:hAnsi="Times New Roman" w:eastAsia="仿宋_GB2312" w:cs="Times New Roman"/>
          <w:bCs/>
          <w:sz w:val="28"/>
          <w:szCs w:val="28"/>
        </w:rPr>
        <w:t>政拨款收入支出决算总体情况说明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_Toc15396606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12</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tabs>
          <w:tab w:val="right" w:leader="dot" w:pos="8296"/>
        </w:tabs>
        <w:spacing w:line="570" w:lineRule="exact"/>
        <w:ind w:firstLine="420" w:firstLineChars="200"/>
        <w:rPr>
          <w:rFonts w:hint="default" w:ascii="Times New Roman" w:hAnsi="Times New Roman" w:eastAsia="仿宋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"_Toc15396607"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五、一</w:t>
      </w:r>
      <w:r>
        <w:rPr>
          <w:rFonts w:hint="default" w:ascii="Times New Roman" w:hAnsi="Times New Roman" w:eastAsia="仿宋_GB2312" w:cs="Times New Roman"/>
          <w:bCs/>
          <w:sz w:val="28"/>
          <w:szCs w:val="28"/>
        </w:rPr>
        <w:t>般公共预算财政拨款支出决算情况说明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
        </w:rPr>
        <w:t>3</w:t>
      </w:r>
    </w:p>
    <w:p>
      <w:pPr>
        <w:tabs>
          <w:tab w:val="right" w:leader="dot" w:pos="8296"/>
        </w:tabs>
        <w:spacing w:line="570" w:lineRule="exact"/>
        <w:ind w:firstLine="420" w:firstLineChars="200"/>
        <w:rPr>
          <w:rFonts w:hint="default" w:ascii="Times New Roman" w:hAnsi="Times New Roman" w:eastAsia="仿宋_GB2312"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"_Toc15396608"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六、一</w:t>
      </w:r>
      <w:r>
        <w:rPr>
          <w:rFonts w:hint="default" w:ascii="Times New Roman" w:hAnsi="Times New Roman" w:eastAsia="仿宋_GB2312" w:cs="Times New Roman"/>
          <w:bCs/>
          <w:sz w:val="28"/>
          <w:szCs w:val="28"/>
        </w:rPr>
        <w:t>般公共预算财政拨款基本支出决算情况说明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t>1</w:t>
      </w:r>
      <w:r>
        <w:rPr>
          <w:rFonts w:hint="eastAsia" w:eastAsia="仿宋_GB2312" w:cs="Times New Roman"/>
          <w:sz w:val="28"/>
          <w:szCs w:val="28"/>
          <w:lang w:val="en-US" w:eastAsia="zh-CN"/>
        </w:rPr>
        <w:t>7</w:t>
      </w:r>
      <w:r>
        <w:rPr>
          <w:rFonts w:hint="default" w:ascii="Times New Roman" w:hAnsi="Times New Roman" w:eastAsia="仿宋_GB2312" w:cs="Times New Roman"/>
          <w:sz w:val="28"/>
          <w:szCs w:val="28"/>
        </w:rPr>
        <w:fldChar w:fldCharType="end"/>
      </w:r>
    </w:p>
    <w:p>
      <w:pPr>
        <w:tabs>
          <w:tab w:val="right" w:leader="dot" w:pos="8296"/>
        </w:tabs>
        <w:spacing w:line="570" w:lineRule="exact"/>
        <w:ind w:firstLine="420" w:firstLineChars="200"/>
        <w:rPr>
          <w:rFonts w:hint="default" w:ascii="Times New Roman" w:hAnsi="Times New Roman" w:eastAsia="仿宋_GB2312"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"_Toc15396609"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七、“</w:t>
      </w:r>
      <w:r>
        <w:rPr>
          <w:rFonts w:hint="default" w:ascii="Times New Roman" w:hAnsi="Times New Roman" w:eastAsia="仿宋_GB2312" w:cs="Times New Roman"/>
          <w:bCs/>
          <w:sz w:val="28"/>
          <w:szCs w:val="28"/>
        </w:rPr>
        <w:t>三公”经费财政拨款支出决算情况说明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_Toc15396609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tabs>
          <w:tab w:val="right" w:leader="dot" w:pos="8296"/>
        </w:tabs>
        <w:spacing w:line="570" w:lineRule="exact"/>
        <w:ind w:firstLine="420" w:firstLineChars="200"/>
        <w:rPr>
          <w:rFonts w:hint="default" w:ascii="Times New Roman" w:hAnsi="Times New Roman" w:eastAsia="仿宋_GB2312"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"_Toc15396610"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八、</w:t>
      </w:r>
      <w:r>
        <w:rPr>
          <w:rFonts w:hint="default" w:ascii="Times New Roman" w:hAnsi="Times New Roman" w:eastAsia="仿宋_GB2312" w:cs="Times New Roman"/>
          <w:bCs/>
          <w:sz w:val="28"/>
          <w:szCs w:val="28"/>
        </w:rPr>
        <w:t>政府性基金预算支出决算情况说明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_Toc15396610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tabs>
          <w:tab w:val="right" w:leader="dot" w:pos="8296"/>
        </w:tabs>
        <w:spacing w:line="570" w:lineRule="exact"/>
        <w:ind w:firstLine="420" w:firstLineChars="200"/>
        <w:rPr>
          <w:rFonts w:hint="default" w:ascii="Times New Roman" w:hAnsi="Times New Roman" w:eastAsia="仿宋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"_Toc15396611" </w:instrText>
      </w:r>
      <w:r>
        <w:rPr>
          <w:rFonts w:hint="default" w:ascii="Times New Roman" w:hAnsi="Times New Roman" w:cs="Times New Roman"/>
        </w:rPr>
        <w:fldChar w:fldCharType="separate"/>
      </w:r>
      <w:r>
        <w:rPr>
          <w:rFonts w:hint="default" w:ascii="Times New Roman" w:hAnsi="Times New Roman" w:eastAsia="仿宋_GB2312" w:cs="Times New Roman"/>
          <w:bCs/>
          <w:sz w:val="28"/>
          <w:szCs w:val="28"/>
        </w:rPr>
        <w:t>九、</w:t>
      </w:r>
      <w:r>
        <w:rPr>
          <w:rFonts w:hint="default" w:ascii="Times New Roman" w:hAnsi="Times New Roman" w:eastAsia="仿宋_GB2312" w:cs="Times New Roman"/>
          <w:sz w:val="28"/>
          <w:szCs w:val="28"/>
        </w:rPr>
        <w:t>国</w:t>
      </w:r>
      <w:r>
        <w:rPr>
          <w:rFonts w:hint="default" w:ascii="Times New Roman" w:hAnsi="Times New Roman" w:eastAsia="仿宋_GB2312" w:cs="Times New Roman"/>
          <w:bCs/>
          <w:sz w:val="28"/>
          <w:szCs w:val="28"/>
        </w:rPr>
        <w:t>有资本经营预算支出决算情况说明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2</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
        </w:rPr>
        <w:t>0</w:t>
      </w:r>
    </w:p>
    <w:p>
      <w:pPr>
        <w:tabs>
          <w:tab w:val="right" w:leader="dot" w:pos="8296"/>
        </w:tabs>
        <w:spacing w:line="570" w:lineRule="exact"/>
        <w:ind w:firstLine="420" w:firstLineChars="200"/>
        <w:rPr>
          <w:rFonts w:hint="default" w:ascii="Times New Roman" w:hAnsi="Times New Roman" w:eastAsia="仿宋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"_Toc15396611"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十、</w:t>
      </w:r>
      <w:r>
        <w:rPr>
          <w:rFonts w:hint="default" w:ascii="Times New Roman" w:hAnsi="Times New Roman" w:eastAsia="仿宋_GB2312" w:cs="Times New Roman"/>
          <w:bCs/>
          <w:sz w:val="28"/>
          <w:szCs w:val="28"/>
        </w:rPr>
        <w:t>其他重要事项的情况说明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2</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
        </w:rPr>
        <w:t>0</w:t>
      </w:r>
    </w:p>
    <w:p>
      <w:pPr>
        <w:keepNext w:val="0"/>
        <w:keepLines w:val="0"/>
        <w:pageBreakBefore w:val="0"/>
        <w:widowControl w:val="0"/>
        <w:tabs>
          <w:tab w:val="right" w:leader="dot" w:pos="8296"/>
        </w:tabs>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default" w:ascii="Times New Roman" w:hAnsi="Times New Roman" w:eastAsia="仿宋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"_Toc15396613"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 w:val="28"/>
          <w:szCs w:val="28"/>
        </w:rPr>
        <w:t>第三部分</w:t>
      </w:r>
      <w:r>
        <w:rPr>
          <w:rFonts w:hint="default" w:ascii="Times New Roman" w:hAnsi="Times New Roman" w:eastAsia="仿宋_GB2312" w:cs="Times New Roman"/>
          <w:sz w:val="28"/>
          <w:szCs w:val="28"/>
        </w:rPr>
        <w:t xml:space="preserve"> 名</w:t>
      </w:r>
      <w:r>
        <w:rPr>
          <w:rFonts w:hint="default" w:ascii="Times New Roman" w:hAnsi="Times New Roman" w:eastAsia="仿宋_GB2312" w:cs="Times New Roman"/>
          <w:bCs/>
          <w:kern w:val="44"/>
          <w:sz w:val="28"/>
          <w:szCs w:val="28"/>
        </w:rPr>
        <w:t>词解释</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
        </w:rPr>
        <w:t>0</w:t>
      </w:r>
    </w:p>
    <w:p>
      <w:pPr>
        <w:keepNext w:val="0"/>
        <w:keepLines w:val="0"/>
        <w:pageBreakBefore w:val="0"/>
        <w:widowControl w:val="0"/>
        <w:tabs>
          <w:tab w:val="right" w:leader="dot" w:pos="8296"/>
        </w:tabs>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default" w:ascii="Times New Roman" w:hAnsi="Times New Roman" w:eastAsia="仿宋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"_Toc15396614"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第</w:t>
      </w:r>
      <w:r>
        <w:rPr>
          <w:rFonts w:hint="default" w:ascii="Times New Roman" w:hAnsi="Times New Roman" w:eastAsia="仿宋_GB2312" w:cs="Times New Roman"/>
          <w:bCs/>
          <w:kern w:val="44"/>
          <w:sz w:val="28"/>
          <w:szCs w:val="28"/>
        </w:rPr>
        <w:t>四部分 附件</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
        </w:rPr>
        <w:t>3</w:t>
      </w:r>
    </w:p>
    <w:p>
      <w:pPr>
        <w:keepNext w:val="0"/>
        <w:keepLines w:val="0"/>
        <w:pageBreakBefore w:val="0"/>
        <w:widowControl w:val="0"/>
        <w:tabs>
          <w:tab w:val="right" w:leader="dot" w:pos="8296"/>
        </w:tabs>
        <w:kinsoku/>
        <w:wordWrap/>
        <w:overflowPunct/>
        <w:topLinePunct w:val="0"/>
        <w:autoSpaceDE/>
        <w:autoSpaceDN/>
        <w:bidi w:val="0"/>
        <w:adjustRightInd/>
        <w:snapToGrid/>
        <w:spacing w:line="570" w:lineRule="exact"/>
        <w:ind w:left="0" w:leftChars="0" w:right="0" w:rightChars="0" w:firstLine="420" w:firstLineChars="200"/>
        <w:jc w:val="both"/>
        <w:textAlignment w:val="auto"/>
        <w:outlineLvl w:val="9"/>
        <w:rPr>
          <w:rFonts w:hint="default" w:ascii="Times New Roman" w:hAnsi="Times New Roman" w:eastAsia="仿宋_GB2312" w:cs="Times New Roman"/>
          <w:sz w:val="28"/>
          <w:szCs w:val="28"/>
          <w:lang w:val="en"/>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"_Toc15396615" </w:instrText>
      </w:r>
      <w:r>
        <w:rPr>
          <w:rFonts w:hint="default" w:ascii="Times New Roman" w:hAnsi="Times New Roman" w:eastAsia="仿宋_GB2312"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"_Toc15396614"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 w:val="28"/>
          <w:szCs w:val="28"/>
        </w:rPr>
        <w:t>附件</w:t>
      </w:r>
      <w:r>
        <w:rPr>
          <w:rFonts w:hint="default" w:ascii="Times New Roman" w:hAnsi="Times New Roman" w:eastAsia="仿宋_GB2312" w:cs="Times New Roman"/>
          <w:bCs/>
          <w:kern w:val="44"/>
          <w:sz w:val="28"/>
          <w:szCs w:val="28"/>
          <w:lang w:val="en-US" w:eastAsia="zh-CN"/>
        </w:rPr>
        <w:t>1</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
        </w:rPr>
        <w:t>3</w:t>
      </w:r>
    </w:p>
    <w:p>
      <w:pPr>
        <w:keepNext w:val="0"/>
        <w:keepLines w:val="0"/>
        <w:pageBreakBefore w:val="0"/>
        <w:widowControl w:val="0"/>
        <w:tabs>
          <w:tab w:val="right" w:leader="dot" w:pos="8296"/>
        </w:tabs>
        <w:kinsoku/>
        <w:wordWrap/>
        <w:overflowPunct/>
        <w:topLinePunct w:val="0"/>
        <w:autoSpaceDE/>
        <w:autoSpaceDN/>
        <w:bidi w:val="0"/>
        <w:adjustRightInd/>
        <w:snapToGrid/>
        <w:spacing w:line="570" w:lineRule="exact"/>
        <w:ind w:right="0" w:rightChars="0"/>
        <w:jc w:val="both"/>
        <w:textAlignment w:val="auto"/>
        <w:outlineLvl w:val="9"/>
        <w:rPr>
          <w:rFonts w:hint="default" w:ascii="Times New Roman" w:hAnsi="Times New Roman" w:eastAsia="仿宋_GB2312" w:cs="Times New Roman"/>
          <w:sz w:val="28"/>
          <w:szCs w:val="28"/>
          <w:lang w:val="en"/>
        </w:rPr>
      </w:pP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"_Toc15396615" </w:instrText>
      </w:r>
      <w:r>
        <w:rPr>
          <w:rFonts w:hint="default" w:ascii="Times New Roman" w:hAnsi="Times New Roman" w:eastAsia="仿宋_GB2312"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"_Toc15396614"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 w:val="28"/>
          <w:szCs w:val="28"/>
        </w:rPr>
        <w:t>附件</w:t>
      </w:r>
      <w:r>
        <w:rPr>
          <w:rFonts w:hint="default" w:ascii="Times New Roman" w:hAnsi="Times New Roman" w:eastAsia="仿宋_GB2312" w:cs="Times New Roman"/>
          <w:bCs/>
          <w:kern w:val="44"/>
          <w:sz w:val="28"/>
          <w:szCs w:val="28"/>
          <w:lang w:val="en-US" w:eastAsia="zh-CN"/>
        </w:rPr>
        <w:t>2</w:t>
      </w:r>
      <w:r>
        <w:rPr>
          <w:rFonts w:hint="default" w:ascii="Times New Roman" w:hAnsi="Times New Roman" w:eastAsia="仿宋_GB2312" w:cs="Times New Roman"/>
          <w:sz w:val="28"/>
          <w:szCs w:val="28"/>
        </w:rPr>
        <w:tab/>
      </w:r>
      <w:r>
        <w:rPr>
          <w:rFonts w:hint="eastAsia" w:eastAsia="仿宋_GB2312" w:cs="Times New Roman"/>
          <w:sz w:val="28"/>
          <w:szCs w:val="28"/>
          <w:lang w:val="en-US" w:eastAsia="zh-CN"/>
        </w:rPr>
        <w:t>4</w:t>
      </w:r>
      <w:r>
        <w:rPr>
          <w:rFonts w:hint="default" w:ascii="Times New Roman" w:hAnsi="Times New Roman" w:eastAsia="仿宋_GB2312" w:cs="Times New Roman"/>
          <w:sz w:val="28"/>
          <w:szCs w:val="28"/>
        </w:rPr>
        <w:fldChar w:fldCharType="end"/>
      </w:r>
      <w:r>
        <w:rPr>
          <w:rFonts w:hint="eastAsia" w:eastAsia="仿宋_GB2312" w:cs="Times New Roman"/>
          <w:sz w:val="28"/>
          <w:szCs w:val="28"/>
          <w:lang w:val="en-US" w:eastAsia="zh-CN"/>
        </w:rPr>
        <w:t>0</w:t>
      </w:r>
    </w:p>
    <w:p>
      <w:pPr>
        <w:keepNext w:val="0"/>
        <w:keepLines w:val="0"/>
        <w:pageBreakBefore w:val="0"/>
        <w:widowControl w:val="0"/>
        <w:tabs>
          <w:tab w:val="right" w:leader="dot" w:pos="8296"/>
        </w:tabs>
        <w:kinsoku/>
        <w:wordWrap/>
        <w:overflowPunct/>
        <w:topLinePunct w:val="0"/>
        <w:autoSpaceDE/>
        <w:autoSpaceDN/>
        <w:bidi w:val="0"/>
        <w:adjustRightInd/>
        <w:snapToGrid/>
        <w:spacing w:line="570" w:lineRule="exact"/>
        <w:ind w:right="0" w:rightChars="0"/>
        <w:jc w:val="both"/>
        <w:textAlignment w:val="auto"/>
        <w:outlineLvl w:val="9"/>
        <w:rPr>
          <w:rFonts w:hint="default" w:ascii="Times New Roman" w:hAnsi="Times New Roman" w:eastAsia="仿宋_GB2312" w:cs="Times New Roman"/>
          <w:sz w:val="28"/>
          <w:szCs w:val="28"/>
          <w:lang w:val="en"/>
        </w:rPr>
      </w:pP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"_Toc15396615" </w:instrText>
      </w:r>
      <w:r>
        <w:rPr>
          <w:rFonts w:hint="default" w:ascii="Times New Roman" w:hAnsi="Times New Roman" w:eastAsia="仿宋_GB2312"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"_Toc15396614"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 w:val="28"/>
          <w:szCs w:val="28"/>
        </w:rPr>
        <w:t>附件</w:t>
      </w:r>
      <w:r>
        <w:rPr>
          <w:rFonts w:hint="default" w:ascii="Times New Roman" w:hAnsi="Times New Roman" w:eastAsia="仿宋_GB2312" w:cs="Times New Roman"/>
          <w:bCs/>
          <w:kern w:val="44"/>
          <w:sz w:val="28"/>
          <w:szCs w:val="28"/>
          <w:lang w:val="en-US" w:eastAsia="zh-CN"/>
        </w:rPr>
        <w:t>3</w:t>
      </w:r>
      <w:r>
        <w:rPr>
          <w:rFonts w:hint="default" w:ascii="Times New Roman" w:hAnsi="Times New Roman" w:eastAsia="仿宋_GB2312" w:cs="Times New Roman"/>
          <w:sz w:val="28"/>
          <w:szCs w:val="28"/>
        </w:rPr>
        <w:tab/>
      </w:r>
      <w:r>
        <w:rPr>
          <w:rFonts w:hint="eastAsia" w:eastAsia="仿宋_GB2312" w:cs="Times New Roman"/>
          <w:sz w:val="28"/>
          <w:szCs w:val="28"/>
          <w:lang w:val="en-US" w:eastAsia="zh-CN"/>
        </w:rPr>
        <w:t>4</w:t>
      </w:r>
      <w:r>
        <w:rPr>
          <w:rFonts w:hint="default" w:ascii="Times New Roman" w:hAnsi="Times New Roman" w:eastAsia="仿宋_GB2312" w:cs="Times New Roman"/>
          <w:sz w:val="28"/>
          <w:szCs w:val="28"/>
        </w:rPr>
        <w:fldChar w:fldCharType="end"/>
      </w:r>
      <w:r>
        <w:rPr>
          <w:rFonts w:hint="eastAsia" w:eastAsia="仿宋_GB2312" w:cs="Times New Roman"/>
          <w:sz w:val="28"/>
          <w:szCs w:val="28"/>
          <w:lang w:val="en-US" w:eastAsia="zh-CN"/>
        </w:rPr>
        <w:t>5</w:t>
      </w:r>
    </w:p>
    <w:p>
      <w:pPr>
        <w:keepNext w:val="0"/>
        <w:keepLines w:val="0"/>
        <w:pageBreakBefore w:val="0"/>
        <w:widowControl w:val="0"/>
        <w:tabs>
          <w:tab w:val="right" w:leader="dot" w:pos="8296"/>
        </w:tabs>
        <w:kinsoku/>
        <w:wordWrap/>
        <w:overflowPunct/>
        <w:topLinePunct w:val="0"/>
        <w:autoSpaceDE/>
        <w:autoSpaceDN/>
        <w:bidi w:val="0"/>
        <w:adjustRightInd/>
        <w:snapToGrid/>
        <w:spacing w:line="570" w:lineRule="exact"/>
        <w:ind w:right="0" w:rightChars="0"/>
        <w:jc w:val="both"/>
        <w:textAlignment w:val="auto"/>
        <w:outlineLvl w:val="9"/>
        <w:rPr>
          <w:rFonts w:hint="default" w:ascii="Times New Roman" w:hAnsi="Times New Roman" w:eastAsia="仿宋_GB2312" w:cs="Times New Roman"/>
          <w:sz w:val="28"/>
          <w:szCs w:val="28"/>
          <w:lang w:val="en"/>
        </w:rPr>
      </w:pPr>
      <w:r>
        <w:rPr>
          <w:rFonts w:hint="default" w:ascii="Times New Roman" w:hAnsi="Times New Roman" w:eastAsia="仿宋_GB2312" w:cs="Times New Roman"/>
          <w:sz w:val="28"/>
          <w:szCs w:val="28"/>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"_Toc15396618"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第</w:t>
      </w:r>
      <w:r>
        <w:rPr>
          <w:rFonts w:hint="default" w:ascii="Times New Roman" w:hAnsi="Times New Roman" w:eastAsia="仿宋_GB2312" w:cs="Times New Roman"/>
          <w:bCs/>
          <w:kern w:val="44"/>
          <w:sz w:val="28"/>
          <w:szCs w:val="28"/>
        </w:rPr>
        <w:t>五部分 附表..........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5</w:t>
      </w:r>
      <w:r>
        <w:rPr>
          <w:rFonts w:hint="default" w:ascii="Times New Roman" w:hAnsi="Times New Roman" w:eastAsia="仿宋_GB2312" w:cs="Times New Roman"/>
          <w:sz w:val="28"/>
          <w:szCs w:val="28"/>
        </w:rPr>
        <w:fldChar w:fldCharType="end"/>
      </w:r>
      <w:r>
        <w:rPr>
          <w:rFonts w:hint="eastAsia" w:eastAsia="仿宋_GB2312" w:cs="Times New Roman"/>
          <w:sz w:val="28"/>
          <w:szCs w:val="28"/>
          <w:lang w:val="en-US" w:eastAsia="zh-CN"/>
        </w:rPr>
        <w:t>3</w:t>
      </w:r>
    </w:p>
    <w:p>
      <w:pPr>
        <w:tabs>
          <w:tab w:val="right" w:leader="dot" w:pos="8296"/>
        </w:tabs>
        <w:spacing w:line="570" w:lineRule="exact"/>
        <w:ind w:firstLine="560" w:firstLineChars="200"/>
        <w:rPr>
          <w:rFonts w:hint="default" w:ascii="Times New Roman" w:hAnsi="Times New Roman" w:eastAsia="仿宋_GB2312" w:cs="Times New Roman"/>
          <w:sz w:val="28"/>
          <w:szCs w:val="28"/>
          <w:lang w:val="en"/>
        </w:rPr>
      </w:pPr>
      <w:r>
        <w:rPr>
          <w:rFonts w:hint="default" w:ascii="Times New Roman" w:hAnsi="Times New Roman" w:eastAsia="仿宋_GB2312" w:cs="Times New Roman"/>
          <w:sz w:val="28"/>
          <w:szCs w:val="28"/>
        </w:rPr>
        <w:t>一、</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"_Toc15396619"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收入支出决算总表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5</w:t>
      </w:r>
      <w:r>
        <w:rPr>
          <w:rFonts w:hint="default" w:ascii="Times New Roman" w:hAnsi="Times New Roman" w:eastAsia="仿宋_GB2312" w:cs="Times New Roman"/>
          <w:sz w:val="28"/>
          <w:szCs w:val="28"/>
        </w:rPr>
        <w:fldChar w:fldCharType="end"/>
      </w:r>
      <w:r>
        <w:rPr>
          <w:rFonts w:hint="eastAsia" w:eastAsia="仿宋_GB2312" w:cs="Times New Roman"/>
          <w:sz w:val="28"/>
          <w:szCs w:val="28"/>
          <w:lang w:val="en-US" w:eastAsia="zh-CN"/>
        </w:rPr>
        <w:t>3</w:t>
      </w:r>
    </w:p>
    <w:p>
      <w:pPr>
        <w:tabs>
          <w:tab w:val="right" w:leader="dot" w:pos="8296"/>
        </w:tabs>
        <w:spacing w:line="570" w:lineRule="exact"/>
        <w:ind w:firstLine="560" w:firstLineChars="200"/>
        <w:rPr>
          <w:rFonts w:hint="default" w:ascii="Times New Roman" w:hAnsi="Times New Roman" w:eastAsia="仿宋_GB2312" w:cs="Times New Roman"/>
          <w:sz w:val="28"/>
          <w:szCs w:val="28"/>
          <w:lang w:val="en"/>
        </w:rPr>
      </w:pPr>
      <w:r>
        <w:rPr>
          <w:rFonts w:hint="default" w:ascii="Times New Roman" w:hAnsi="Times New Roman" w:eastAsia="仿宋_GB2312" w:cs="Times New Roman"/>
          <w:sz w:val="28"/>
          <w:szCs w:val="28"/>
        </w:rPr>
        <w:t>二、</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"_Toc15396620"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收入决算表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5</w:t>
      </w:r>
      <w:r>
        <w:rPr>
          <w:rFonts w:hint="default" w:ascii="Times New Roman" w:hAnsi="Times New Roman" w:eastAsia="仿宋_GB2312" w:cs="Times New Roman"/>
          <w:sz w:val="28"/>
          <w:szCs w:val="28"/>
        </w:rPr>
        <w:fldChar w:fldCharType="end"/>
      </w:r>
      <w:r>
        <w:rPr>
          <w:rFonts w:hint="eastAsia" w:eastAsia="仿宋_GB2312" w:cs="Times New Roman"/>
          <w:sz w:val="28"/>
          <w:szCs w:val="28"/>
          <w:lang w:val="en-US" w:eastAsia="zh-CN"/>
        </w:rPr>
        <w:t>3</w:t>
      </w:r>
    </w:p>
    <w:p>
      <w:pPr>
        <w:tabs>
          <w:tab w:val="right" w:leader="dot" w:pos="8296"/>
        </w:tabs>
        <w:spacing w:line="570" w:lineRule="exact"/>
        <w:ind w:firstLine="560" w:firstLineChars="200"/>
        <w:rPr>
          <w:rFonts w:hint="default" w:ascii="Times New Roman" w:hAnsi="Times New Roman" w:eastAsia="仿宋_GB2312" w:cs="Times New Roman"/>
          <w:sz w:val="28"/>
          <w:szCs w:val="28"/>
          <w:lang w:val="en"/>
        </w:rPr>
      </w:pPr>
      <w:r>
        <w:rPr>
          <w:rFonts w:hint="default" w:ascii="Times New Roman" w:hAnsi="Times New Roman" w:eastAsia="仿宋_GB2312" w:cs="Times New Roman"/>
          <w:sz w:val="28"/>
          <w:szCs w:val="28"/>
        </w:rPr>
        <w:t>三、</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"_Toc15396621"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5</w:t>
      </w:r>
      <w:r>
        <w:rPr>
          <w:rFonts w:hint="default" w:ascii="Times New Roman" w:hAnsi="Times New Roman" w:eastAsia="仿宋_GB2312" w:cs="Times New Roman"/>
          <w:sz w:val="28"/>
          <w:szCs w:val="28"/>
        </w:rPr>
        <w:fldChar w:fldCharType="end"/>
      </w:r>
      <w:r>
        <w:rPr>
          <w:rFonts w:hint="eastAsia" w:eastAsia="仿宋_GB2312" w:cs="Times New Roman"/>
          <w:sz w:val="28"/>
          <w:szCs w:val="28"/>
          <w:lang w:val="en-US" w:eastAsia="zh-CN"/>
        </w:rPr>
        <w:t>3</w:t>
      </w:r>
    </w:p>
    <w:p>
      <w:pPr>
        <w:tabs>
          <w:tab w:val="right" w:leader="dot" w:pos="8296"/>
        </w:tabs>
        <w:spacing w:line="570" w:lineRule="exact"/>
        <w:ind w:firstLine="560" w:firstLineChars="200"/>
        <w:rPr>
          <w:rFonts w:hint="default" w:ascii="Times New Roman" w:hAnsi="Times New Roman" w:eastAsia="仿宋_GB2312" w:cs="Times New Roman"/>
          <w:sz w:val="28"/>
          <w:szCs w:val="28"/>
          <w:lang w:val="en"/>
        </w:rPr>
      </w:pPr>
      <w:r>
        <w:rPr>
          <w:rFonts w:hint="default" w:ascii="Times New Roman" w:hAnsi="Times New Roman" w:eastAsia="仿宋_GB2312" w:cs="Times New Roman"/>
          <w:sz w:val="28"/>
          <w:szCs w:val="28"/>
        </w:rPr>
        <w:t>四、</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"_Toc15396622"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财政拨款收入支出决算总表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5</w:t>
      </w:r>
      <w:r>
        <w:rPr>
          <w:rFonts w:hint="default" w:ascii="Times New Roman" w:hAnsi="Times New Roman" w:eastAsia="仿宋_GB2312" w:cs="Times New Roman"/>
          <w:sz w:val="28"/>
          <w:szCs w:val="28"/>
        </w:rPr>
        <w:fldChar w:fldCharType="end"/>
      </w:r>
      <w:r>
        <w:rPr>
          <w:rFonts w:hint="eastAsia" w:eastAsia="仿宋_GB2312" w:cs="Times New Roman"/>
          <w:sz w:val="28"/>
          <w:szCs w:val="28"/>
          <w:lang w:val="en-US" w:eastAsia="zh-CN"/>
        </w:rPr>
        <w:t>3</w:t>
      </w:r>
    </w:p>
    <w:p>
      <w:pPr>
        <w:tabs>
          <w:tab w:val="right" w:leader="dot" w:pos="8296"/>
        </w:tabs>
        <w:spacing w:line="570" w:lineRule="exact"/>
        <w:ind w:firstLine="560" w:firstLineChars="200"/>
        <w:rPr>
          <w:rFonts w:hint="default" w:ascii="Times New Roman" w:hAnsi="Times New Roman" w:eastAsia="仿宋_GB2312" w:cs="Times New Roman"/>
          <w:sz w:val="28"/>
          <w:szCs w:val="28"/>
          <w:lang w:val="en"/>
        </w:rPr>
      </w:pPr>
      <w:r>
        <w:rPr>
          <w:rFonts w:hint="default" w:ascii="Times New Roman" w:hAnsi="Times New Roman" w:eastAsia="仿宋_GB2312" w:cs="Times New Roman"/>
          <w:sz w:val="28"/>
          <w:szCs w:val="28"/>
        </w:rPr>
        <w:t>五、</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"_Toc15396623"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财政拨款支出决算明细表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5</w:t>
      </w:r>
      <w:r>
        <w:rPr>
          <w:rFonts w:hint="default" w:ascii="Times New Roman" w:hAnsi="Times New Roman" w:eastAsia="仿宋_GB2312" w:cs="Times New Roman"/>
          <w:sz w:val="28"/>
          <w:szCs w:val="28"/>
        </w:rPr>
        <w:fldChar w:fldCharType="end"/>
      </w:r>
      <w:r>
        <w:rPr>
          <w:rFonts w:hint="eastAsia" w:eastAsia="仿宋_GB2312" w:cs="Times New Roman"/>
          <w:sz w:val="28"/>
          <w:szCs w:val="28"/>
          <w:lang w:val="en-US" w:eastAsia="zh-CN"/>
        </w:rPr>
        <w:t>3</w:t>
      </w:r>
    </w:p>
    <w:p>
      <w:pPr>
        <w:tabs>
          <w:tab w:val="right" w:leader="dot" w:pos="8296"/>
        </w:tabs>
        <w:spacing w:line="570" w:lineRule="exact"/>
        <w:ind w:firstLine="560" w:firstLineChars="200"/>
        <w:rPr>
          <w:rFonts w:hint="default" w:ascii="Times New Roman" w:hAnsi="Times New Roman" w:eastAsia="仿宋_GB2312" w:cs="Times New Roman"/>
          <w:sz w:val="28"/>
          <w:szCs w:val="28"/>
          <w:lang w:val="en"/>
        </w:rPr>
      </w:pPr>
      <w:r>
        <w:rPr>
          <w:rFonts w:hint="default" w:ascii="Times New Roman" w:hAnsi="Times New Roman" w:eastAsia="仿宋_GB2312" w:cs="Times New Roman"/>
          <w:sz w:val="28"/>
          <w:szCs w:val="28"/>
        </w:rPr>
        <w:t>六、</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"_Toc15396624"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一般公共预算财政拨款支出决算表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5</w:t>
      </w:r>
      <w:r>
        <w:rPr>
          <w:rFonts w:hint="default" w:ascii="Times New Roman" w:hAnsi="Times New Roman" w:eastAsia="仿宋_GB2312" w:cs="Times New Roman"/>
          <w:sz w:val="28"/>
          <w:szCs w:val="28"/>
        </w:rPr>
        <w:fldChar w:fldCharType="end"/>
      </w:r>
      <w:r>
        <w:rPr>
          <w:rFonts w:hint="eastAsia" w:eastAsia="仿宋_GB2312" w:cs="Times New Roman"/>
          <w:sz w:val="28"/>
          <w:szCs w:val="28"/>
          <w:lang w:val="en-US" w:eastAsia="zh-CN"/>
        </w:rPr>
        <w:t>3</w:t>
      </w:r>
    </w:p>
    <w:p>
      <w:pPr>
        <w:tabs>
          <w:tab w:val="right" w:leader="dot" w:pos="8296"/>
        </w:tabs>
        <w:spacing w:line="57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"_Toc15396625"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一般公共预算财政拨款支出决算明细表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5</w:t>
      </w:r>
      <w:r>
        <w:rPr>
          <w:rFonts w:hint="eastAsia" w:eastAsia="仿宋_GB2312" w:cs="Times New Roman"/>
          <w:sz w:val="28"/>
          <w:szCs w:val="28"/>
          <w:lang w:val="en-US" w:eastAsia="zh-CN"/>
        </w:rPr>
        <w:t>3</w:t>
      </w:r>
      <w:r>
        <w:rPr>
          <w:rFonts w:hint="default" w:ascii="Times New Roman" w:hAnsi="Times New Roman" w:eastAsia="仿宋_GB2312" w:cs="Times New Roman"/>
          <w:sz w:val="28"/>
          <w:szCs w:val="28"/>
        </w:rPr>
        <w:fldChar w:fldCharType="end"/>
      </w:r>
    </w:p>
    <w:p>
      <w:pPr>
        <w:tabs>
          <w:tab w:val="right" w:leader="dot" w:pos="8296"/>
        </w:tabs>
        <w:spacing w:line="57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"_Toc15396626"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一般公共预算财政拨款基本支出决算表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5</w:t>
      </w:r>
      <w:r>
        <w:rPr>
          <w:rFonts w:hint="eastAsia" w:eastAsia="仿宋_GB2312" w:cs="Times New Roman"/>
          <w:sz w:val="28"/>
          <w:szCs w:val="28"/>
          <w:lang w:val="en-US" w:eastAsia="zh-CN"/>
        </w:rPr>
        <w:t>3</w:t>
      </w:r>
      <w:r>
        <w:rPr>
          <w:rFonts w:hint="default" w:ascii="Times New Roman" w:hAnsi="Times New Roman" w:eastAsia="仿宋_GB2312" w:cs="Times New Roman"/>
          <w:sz w:val="28"/>
          <w:szCs w:val="28"/>
        </w:rPr>
        <w:fldChar w:fldCharType="end"/>
      </w:r>
    </w:p>
    <w:p>
      <w:pPr>
        <w:tabs>
          <w:tab w:val="right" w:leader="dot" w:pos="8296"/>
        </w:tabs>
        <w:spacing w:line="57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"_Toc15396627"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一般公共预算财政拨款项目支出决算表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5</w:t>
      </w:r>
      <w:r>
        <w:rPr>
          <w:rFonts w:hint="eastAsia" w:eastAsia="仿宋_GB2312" w:cs="Times New Roman"/>
          <w:sz w:val="28"/>
          <w:szCs w:val="28"/>
          <w:lang w:val="en-US" w:eastAsia="zh-CN"/>
        </w:rPr>
        <w:t>3</w:t>
      </w:r>
      <w:r>
        <w:rPr>
          <w:rFonts w:hint="default" w:ascii="Times New Roman" w:hAnsi="Times New Roman" w:eastAsia="仿宋_GB2312" w:cs="Times New Roman"/>
          <w:sz w:val="28"/>
          <w:szCs w:val="28"/>
        </w:rPr>
        <w:fldChar w:fldCharType="end"/>
      </w:r>
    </w:p>
    <w:p>
      <w:pPr>
        <w:tabs>
          <w:tab w:val="right" w:leader="dot" w:pos="8296"/>
        </w:tabs>
        <w:spacing w:line="57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"_Toc15396628"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一般公共预算财政拨款“三公”经费支出决算表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5</w:t>
      </w:r>
      <w:r>
        <w:rPr>
          <w:rFonts w:hint="eastAsia" w:eastAsia="仿宋_GB2312" w:cs="Times New Roman"/>
          <w:sz w:val="28"/>
          <w:szCs w:val="28"/>
          <w:lang w:val="en-US" w:eastAsia="zh-CN"/>
        </w:rPr>
        <w:t>3</w:t>
      </w:r>
      <w:r>
        <w:rPr>
          <w:rFonts w:hint="default" w:ascii="Times New Roman" w:hAnsi="Times New Roman" w:eastAsia="仿宋_GB2312" w:cs="Times New Roman"/>
          <w:sz w:val="28"/>
          <w:szCs w:val="28"/>
        </w:rPr>
        <w:fldChar w:fldCharType="end"/>
      </w:r>
    </w:p>
    <w:p>
      <w:pPr>
        <w:tabs>
          <w:tab w:val="right" w:leader="dot" w:pos="8296"/>
        </w:tabs>
        <w:spacing w:line="57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十一、</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"_Toc15396629"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政府性基金预算财政拨款收入支出决算表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5</w:t>
      </w:r>
      <w:r>
        <w:rPr>
          <w:rFonts w:hint="eastAsia" w:eastAsia="仿宋_GB2312" w:cs="Times New Roman"/>
          <w:sz w:val="28"/>
          <w:szCs w:val="28"/>
          <w:lang w:val="en-US" w:eastAsia="zh-CN"/>
        </w:rPr>
        <w:t>3</w:t>
      </w:r>
      <w:r>
        <w:rPr>
          <w:rFonts w:hint="default" w:ascii="Times New Roman" w:hAnsi="Times New Roman" w:eastAsia="仿宋_GB2312" w:cs="Times New Roman"/>
          <w:sz w:val="28"/>
          <w:szCs w:val="28"/>
        </w:rPr>
        <w:fldChar w:fldCharType="end"/>
      </w:r>
    </w:p>
    <w:p>
      <w:pPr>
        <w:tabs>
          <w:tab w:val="right" w:leader="dot" w:pos="8296"/>
        </w:tabs>
        <w:spacing w:line="57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十二、</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"_Toc15396630"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政府性基金预算财政拨款“三公”经费支出决算表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5</w:t>
      </w:r>
      <w:r>
        <w:rPr>
          <w:rFonts w:hint="eastAsia" w:eastAsia="仿宋_GB2312" w:cs="Times New Roman"/>
          <w:sz w:val="28"/>
          <w:szCs w:val="28"/>
          <w:lang w:val="en-US" w:eastAsia="zh-CN"/>
        </w:rPr>
        <w:t>3</w:t>
      </w:r>
      <w:r>
        <w:rPr>
          <w:rFonts w:hint="default" w:ascii="Times New Roman" w:hAnsi="Times New Roman" w:eastAsia="仿宋_GB2312" w:cs="Times New Roman"/>
          <w:sz w:val="28"/>
          <w:szCs w:val="28"/>
        </w:rPr>
        <w:fldChar w:fldCharType="end"/>
      </w:r>
    </w:p>
    <w:p>
      <w:pPr>
        <w:tabs>
          <w:tab w:val="right" w:leader="dot" w:pos="8296"/>
        </w:tabs>
        <w:spacing w:line="57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十三、</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"_Toc15396630"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国有资本经营预算财政拨款收入支出决算表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5</w:t>
      </w:r>
      <w:r>
        <w:rPr>
          <w:rFonts w:hint="eastAsia" w:eastAsia="仿宋_GB2312" w:cs="Times New Roman"/>
          <w:sz w:val="28"/>
          <w:szCs w:val="28"/>
          <w:lang w:val="en-US" w:eastAsia="zh-CN"/>
        </w:rPr>
        <w:t>3</w:t>
      </w:r>
      <w:r>
        <w:rPr>
          <w:rFonts w:hint="default" w:ascii="Times New Roman" w:hAnsi="Times New Roman" w:eastAsia="仿宋_GB2312" w:cs="Times New Roman"/>
          <w:sz w:val="28"/>
          <w:szCs w:val="28"/>
        </w:rPr>
        <w:fldChar w:fldCharType="end"/>
      </w:r>
    </w:p>
    <w:p>
      <w:pPr>
        <w:tabs>
          <w:tab w:val="right" w:leader="dot" w:pos="8296"/>
        </w:tabs>
        <w:spacing w:line="57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十四、国有资本经营预算财政拨款支出决算表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
        </w:rPr>
        <w:t>5</w:t>
      </w:r>
      <w:r>
        <w:rPr>
          <w:rFonts w:hint="eastAsia" w:eastAsia="仿宋_GB2312" w:cs="Times New Roman"/>
          <w:sz w:val="28"/>
          <w:szCs w:val="28"/>
          <w:lang w:val="en-US" w:eastAsia="zh-CN"/>
        </w:rPr>
        <w:t>3</w:t>
      </w:r>
      <w:r>
        <w:rPr>
          <w:rFonts w:hint="default" w:ascii="Times New Roman" w:hAnsi="Times New Roman" w:eastAsia="仿宋_GB2312" w:cs="Times New Roman"/>
          <w:sz w:val="28"/>
          <w:szCs w:val="28"/>
        </w:rPr>
        <w:br w:type="page"/>
      </w:r>
    </w:p>
    <w:p>
      <w:pPr>
        <w:pStyle w:val="3"/>
        <w:spacing w:before="0" w:after="0" w:line="550" w:lineRule="exact"/>
        <w:jc w:val="center"/>
        <w:rPr>
          <w:rFonts w:hint="default" w:ascii="Times New Roman" w:hAnsi="Times New Roman" w:eastAsia="方正小标宋简体" w:cs="Times New Roman"/>
          <w:bCs w:val="0"/>
        </w:rPr>
      </w:pPr>
    </w:p>
    <w:p>
      <w:pPr>
        <w:pStyle w:val="3"/>
        <w:spacing w:before="0" w:after="0" w:line="550" w:lineRule="exact"/>
        <w:jc w:val="center"/>
        <w:rPr>
          <w:rStyle w:val="29"/>
          <w:rFonts w:hint="default" w:ascii="Times New Roman" w:hAnsi="Times New Roman" w:eastAsia="方正小标宋简体" w:cs="Times New Roman"/>
          <w:b/>
          <w:bCs w:val="0"/>
        </w:rPr>
      </w:pPr>
      <w:r>
        <w:rPr>
          <w:rFonts w:hint="default" w:ascii="Times New Roman" w:hAnsi="Times New Roman" w:eastAsia="方正小标宋简体" w:cs="Times New Roman"/>
          <w:bCs w:val="0"/>
        </w:rPr>
        <w:t xml:space="preserve">第一部分 </w:t>
      </w:r>
      <w:r>
        <w:rPr>
          <w:rStyle w:val="29"/>
          <w:rFonts w:hint="default" w:ascii="Times New Roman" w:hAnsi="Times New Roman" w:eastAsia="方正小标宋简体" w:cs="Times New Roman"/>
          <w:b/>
          <w:bCs w:val="0"/>
        </w:rPr>
        <w:t>部门概况</w:t>
      </w:r>
      <w:bookmarkEnd w:id="12"/>
      <w:bookmarkEnd w:id="13"/>
    </w:p>
    <w:p>
      <w:pPr>
        <w:widowControl/>
        <w:spacing w:line="550" w:lineRule="exact"/>
        <w:jc w:val="left"/>
        <w:rPr>
          <w:rFonts w:hint="default" w:ascii="Times New Roman" w:hAnsi="Times New Roman" w:eastAsia="仿宋_GB2312" w:cs="Times New Roman"/>
          <w:color w:val="000000"/>
          <w:sz w:val="32"/>
          <w:szCs w:val="32"/>
        </w:rPr>
      </w:pPr>
    </w:p>
    <w:p>
      <w:pPr>
        <w:pStyle w:val="4"/>
        <w:spacing w:before="0" w:after="0" w:line="550" w:lineRule="exact"/>
        <w:ind w:firstLine="640" w:firstLineChars="200"/>
        <w:rPr>
          <w:rStyle w:val="30"/>
          <w:rFonts w:hint="default" w:ascii="Times New Roman" w:hAnsi="Times New Roman" w:eastAsia="黑体" w:cs="Times New Roman"/>
          <w:b/>
          <w:bCs/>
        </w:rPr>
      </w:pPr>
      <w:bookmarkStart w:id="14" w:name="_Toc15377197"/>
      <w:bookmarkStart w:id="15" w:name="_Toc15396600"/>
      <w:r>
        <w:rPr>
          <w:rFonts w:hint="default" w:ascii="Times New Roman" w:hAnsi="Times New Roman" w:eastAsia="黑体" w:cs="Times New Roman"/>
          <w:b w:val="0"/>
          <w:color w:val="000000"/>
        </w:rPr>
        <w:t>一、基</w:t>
      </w:r>
      <w:r>
        <w:rPr>
          <w:rStyle w:val="30"/>
          <w:rFonts w:hint="default" w:ascii="Times New Roman" w:hAnsi="Times New Roman" w:eastAsia="黑体" w:cs="Times New Roman"/>
          <w:b w:val="0"/>
          <w:bCs w:val="0"/>
        </w:rPr>
        <w:t>本职能及主要工作</w:t>
      </w:r>
      <w:bookmarkEnd w:id="14"/>
      <w:bookmarkEnd w:id="15"/>
    </w:p>
    <w:p>
      <w:pPr>
        <w:pStyle w:val="8"/>
        <w:adjustRightInd w:val="0"/>
        <w:snapToGrid w:val="0"/>
        <w:spacing w:beforeLines="0" w:line="550" w:lineRule="exact"/>
        <w:ind w:firstLine="642" w:firstLineChars="200"/>
        <w:outlineLvl w:val="2"/>
        <w:rPr>
          <w:rFonts w:hint="default" w:ascii="Times New Roman" w:hAnsi="Times New Roman" w:cs="Times New Roman"/>
          <w:bCs/>
          <w:color w:val="000000"/>
          <w:sz w:val="32"/>
          <w:szCs w:val="32"/>
        </w:rPr>
      </w:pPr>
      <w:bookmarkStart w:id="16" w:name="_Toc15378445"/>
      <w:bookmarkStart w:id="17" w:name="_Toc15377198"/>
      <w:r>
        <w:rPr>
          <w:rFonts w:hint="default" w:ascii="Times New Roman" w:hAnsi="Times New Roman" w:eastAsia="楷体_GB2312" w:cs="Times New Roman"/>
          <w:b/>
          <w:bCs/>
          <w:color w:val="000000"/>
          <w:sz w:val="32"/>
          <w:szCs w:val="32"/>
        </w:rPr>
        <w:t>（一）主要职能。</w:t>
      </w:r>
      <w:r>
        <w:rPr>
          <w:rFonts w:hint="default" w:ascii="Times New Roman" w:hAnsi="Times New Roman" w:cs="Times New Roman"/>
          <w:sz w:val="32"/>
          <w:szCs w:val="32"/>
        </w:rPr>
        <w:t>四川省国资委基本职责为根据省政府授权，依照《中华人民共和国公司法》《中华人民共和国企业国有资产法》等法律和行政法规履行出资人职责，监管省属企业的国有资产，加强国有资产的管理工作。研究拟订国有资产管理的地方性法规、规章草案，制定或拟订有关制度，依法对市（州）国有资产管理进行指导。承担监督所监管企业国有资产保值增值的责任，建立和完善国有资产保值增值指标体系，制定考核标准，通过统计、稽核对所监管企业国有资产的保值增值情况进行监管，负责所监管企业工资分配管理工作，制定所监管企业负责人收入分配政策并组织实施。指导推进国有企业改革和重组，推进国有企业的现代企业制度建设，完善公司治理结构，推动国有经济布局和结构的战略性调整。</w:t>
      </w:r>
      <w:bookmarkEnd w:id="16"/>
      <w:bookmarkEnd w:id="17"/>
      <w:bookmarkStart w:id="18" w:name="_Toc15378446"/>
      <w:bookmarkStart w:id="19" w:name="_Toc15377199"/>
    </w:p>
    <w:p>
      <w:pPr>
        <w:snapToGrid w:val="0"/>
        <w:spacing w:line="52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000000"/>
          <w:sz w:val="32"/>
          <w:szCs w:val="32"/>
        </w:rPr>
        <w:t>（二）2020年重点工作完成情况。</w:t>
      </w:r>
      <w:bookmarkEnd w:id="18"/>
      <w:bookmarkEnd w:id="19"/>
      <w:r>
        <w:rPr>
          <w:rFonts w:hint="default" w:ascii="Times New Roman" w:hAnsi="Times New Roman" w:eastAsia="仿宋_GB2312" w:cs="Times New Roman"/>
          <w:sz w:val="32"/>
          <w:szCs w:val="32"/>
        </w:rPr>
        <w:t>2020年受新冠肺炎疫情带来的严重冲击，面对严峻复杂的经济形势，面对艰巨繁重的改革发展任务，全省国资国企系统坚定以习近平新时代中国特色社会主义思想为指导，认真贯彻落实国务院国资委和省委省政府决策部署，保持战略定力、主动作为、迎难而上，统筹抓好疫情防控和国资国企改革发展，各项工作取得了较好成效，“十三五”目标任务圆满完成，为全省经济社会发展作出了积极贡献。截至2020年底，全省国有企业资产总额13.88万亿元，营业收入2.5万亿元，利润总额1384.5亿元，同比分别增长13.7%、8%、10.4%，其中：全省地方国有企业资产总额10.75万亿元，营业收入1.22万亿元，利润总额893亿元，同比分别增长16.4%、14.2%、6.2%；省国资委监管企业资产总额1.79万亿元、同比增长9.9%，营业收入4302亿元、同比增长9.8%，利润总额72.1亿元。主要做了以下工作：</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全力抗击疫情，积极推动企业复工复产。国资国企在抗击新冠肺炎疫情斗争中主动担当、勇挑重担，在应急保供、医疗支援、复工复产等方面发挥了重要作用。出台“10+6”政策措施，以及经营业绩考核和工资管理相关政策措施，支持引导企业做好疫情防控，组织动员国企迅速转产防疫物资，日产口罩超300万只、防护服超6000套；完成全省疫情防控指挥平台建设、援鄂医疗队接送等应急任务；强化能源、粮油等基础保障，向华西医院等捐款捐物超过7000万元。推动国企率先复工复产，引领带动上下游产业链企业发展；指导企业发起设立首期规模10亿元的全国首支省级防疫专项投资基金，发行12支总规模88.9亿元的疫情防控债，向承租国企经营用房的市场主体减免租金2.88亿元，惠及承租户超过6000余家。</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围绕目标任务，狠抓企业经济运行监测。指导企业用好用足国家和省上出台减税的稳增长政策，努力降低疫情带来影响。制定了稳增长激励措施，大力推进降本增效。防范化解债务风险，拟制四川省属监管企业“内控、风险、合规”协同管理指引。制定资金集中管理指导意见，提高企业资金配置效率。强化项目投资带动，抓好95个重大项目建设，天府国际机场基本建成，川南城际铁路等重点基础设施建设、中国“牙谷”四川口腔装备材料产业基地等重点项目顺利推进，项目投资目标任务有望实现突破。</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深化重点领域改革，不断激发企业活力。一是高质量起草国有企业改革三年行动实施方案，已通过省委常委会议、省政府常务会议审议，印发实施。二是抓好“双百企业”“科改示范企业”改革，深入开展对标世界一流管理提升行动。川煤集团改革已进入司法重整程序，川航增资扩股有序推进。三是加强规范董事会建设，省属企业配备外部董事24名，其中专职外部董事4名、兼职外部董事20名；持续开展企业集团和子公司经理层市场化选聘，其中矿投集团完成经理层整体选聘。四是推进混合所有制改革，举办川渝共同产权市场互联网平台上线活动；多途径推进资产证券化，川投发布全国首单PPP储架式资产证券化项目、省交投成功发行中西部首单基础设施领域REITS产品；我省地方国有上市公司达39家，其中五粮液成为深市首只市值超万亿元的个股。五是基本完成公司制改革和剥离国企办社会职能解决历史遗留问题，截至目前，已完成240余万户国有企业职工家属区“三供一业”分离移交，移交完成率100%。</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推动国企转型升级，努力实现高质量发展。全面启动全省及省属国资“十四五”规划纲要编制工作。修订四川省属企业主业管理办法，完成省属企业主业调整优化。推动创新发展，与科技厅、华为、电子科大等单位签署战略合作协议。深化央地合作，召开“落实新时代西部大开发战略——四川省与中央企业合作发展座谈会暨项目签约仪式”，13家中央企业与四川省政府签署战略合作框架协议，推动四川省各级政府及地方国有企业与中央企业签署一批项目协议，涉及协议金额3920亿元，8个中央企业在川新设区域总部或新设二级子公司。深化市州合作，推动国企与成都、攀枝花等14个市（州）加强战略合作，已落地项目投资3600多亿元。围绕成渝地区双城经济圈建设，深化川渝合作，推动两地国资国企签署“1+12”一揽子合作协议；成立西部陆海新通道物流产业发展联盟，吸收400余家沿线地区物流、商贸产业龙头企业入盟。</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落实“放管服”要求，以管资本为主推进职能转变。深化7户国有资本投资运营公司改革，在川发展、川投2户企业开展国有资本授权经营体制改革试点。充分发挥考核分配的导向作用，修订出台经营业绩考核配套细则，推动企业实现质量更高、效益更好、结构更优的发展；完成2019年度和2017—2019年任期考核清算。出台省属企业境外公司财务负责人选派管理暂行办法等制度，强化财务、投资、境外国有资产等重点领域监督，完成8户省属企业合规管理试点。落实中央和省委省政府要求，督促企业完成清欠，无分歧账款实现清零。完成大额资金在线监管系统建设，去年底省属企业全部上线监测。加强委贷资金监管，认真查纠对下属企业特别是因改制重组等划入的企业，长期疏于监管造成国有资产流失等问题，推动堵塞监管漏洞。加快构建国资监管大格局，在全国率先以省政府办公厅名义出台《关于构建全省国资监管大格局协同推进国有企业改革发展的指导意见》。加强研究能力建设，与中国企业改革与发展研究会战略合作，共同建设西部创新实践基地。</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坚持强基固本，国资国企党的建设得到全面加强。始终坚持党的领导、加强党的建设，筑牢国有企业的“根”和“魂”。一是狠抓党的政治建设。坚持把党的政治建设摆在首要位置，深入学习习近平总书记重要讲话和重要指示批示精神，持续深化“不忘初心、牢记使命”主题教育成果，不断增强“四个意识”、坚定“四个自信”、坚决做到“两个维护”。二是狠抓党建责任落实。积极推进“党建入章”， 省属企业集团“党建入章”率达100%，建立党建工作与企业负责人年度考核衔接机制，党建工作考核结果与负责人薪酬挂钩。落实党委会研究讨论是董事会、经理层决策重大事项的前置要求，制定省属企业党委会前置研究、研究决定事项清单示范文本；压实党委书记抓党建工作责任，抓好述职评议和党建工作考核；持续开展国企党建“强基固本提升工程”，提升基层党组织标准化规范化建设水平。三是狠抓领导班子和人才队伍建设。制定资深经理管理办法、严格领导人员履职管理规定、加强和改进国企人才工作指导意见、省国资委派员列席董事会会议等系列制度，开展省属企业董事会工作报告和董事会及董事任期评价工作；实施“人才强企”工程，开展国有企业高校招聘（成渝专场）活动，实施党务人才与经营管理人才“双向培养”项目，在中央党校、浦东干部学院等教育培训 “双向人才”250余人。</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落实从严治党，推动国企政治生态不断净化。制定加强国企案件审理工作意见，建立健全省管企业案件集中审理机制。制定《省属国有企业境外公司财务负责人选派管理暂行办法》《省国资委党委加强省属国有企业境外腐败治理工作实施意见》，推动建立四川国有企业境外国有资产联合监督机制，加强境外国有资产监督。持续深化作风建设，制定了《整治整治形式主义官僚主义问题实施意见》，出台省属企业商务招待管理办法。加强巡察制度和巡察人才库建设，研究制定《四川省国资委党委巡察工作办法》等19项巡察工作制度及规范，认真开展巡视整改“回头看和巡察整改。严肃查处能投、华西、机场、国资经营公司等企业系列违纪违法案件，始终保持违纪必究、有腐必惩高压态势，持续净化国企政治生态。</w:t>
      </w:r>
    </w:p>
    <w:p>
      <w:pPr>
        <w:snapToGrid w:val="0"/>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强化责任担当，国资国企脱贫攻坚工作成效显著。深入贯彻落实中央和省委省政府脱贫攻坚部署，以企业带动、产业拉动、企地联动等模式，全力抓好国资系统脱贫攻坚工作,定点扶贫的全省“四大片区”65个县全部实现摘帽。2020年， 61户企业年度计划投入无偿帮扶资金13.6亿元，实施帮扶项目502个，其中，定点扶贫凉山州的26户国有企业计划投入5.2亿元，实施帮扶项目210个。签订“以购代捐”协议474份1.12亿元，举办线上、线下销售扶贫产品774场（次），实现销售额1.56亿元；订购凉山彝区贫困妇女彝秀手工产品800余万元；动员组织用工密集型国有企业优先选用易地搬迁群众务工1610人次，发放工资48.8万元。同时，制定四川国企更好履行社会责任指导意见，倡导国有企业勇担社会责任。</w:t>
      </w:r>
    </w:p>
    <w:p>
      <w:pPr>
        <w:pStyle w:val="8"/>
        <w:adjustRightInd w:val="0"/>
        <w:snapToGrid w:val="0"/>
        <w:spacing w:beforeLines="0" w:line="550" w:lineRule="exact"/>
        <w:ind w:firstLine="672" w:firstLineChars="210"/>
        <w:outlineLvl w:val="2"/>
        <w:rPr>
          <w:rFonts w:hint="default" w:ascii="Times New Roman" w:hAnsi="Times New Roman" w:cs="Times New Roman"/>
          <w:bCs/>
          <w:color w:val="000000"/>
          <w:sz w:val="32"/>
          <w:szCs w:val="32"/>
        </w:rPr>
      </w:pPr>
      <w:r>
        <w:rPr>
          <w:rFonts w:hint="default" w:ascii="Times New Roman" w:hAnsi="Times New Roman" w:cs="Times New Roman"/>
          <w:sz w:val="32"/>
          <w:szCs w:val="32"/>
        </w:rPr>
        <w:t>2020年工作成绩的取得是省委、省政府坚强领导的结果，是各地各部门、社会各界关心支持的结果，更是全省国资国企广大干部职工锐意进取、埋头苦干的结果。</w:t>
      </w:r>
    </w:p>
    <w:p>
      <w:pPr>
        <w:pStyle w:val="4"/>
        <w:spacing w:before="0" w:after="0" w:line="550" w:lineRule="exact"/>
        <w:ind w:firstLine="640" w:firstLineChars="200"/>
        <w:rPr>
          <w:rStyle w:val="30"/>
          <w:rFonts w:hint="default" w:ascii="Times New Roman" w:hAnsi="Times New Roman" w:eastAsia="黑体" w:cs="Times New Roman"/>
          <w:b/>
          <w:bCs/>
        </w:rPr>
      </w:pPr>
      <w:bookmarkStart w:id="20" w:name="_Toc15396601"/>
      <w:bookmarkStart w:id="21" w:name="_Toc15377200"/>
      <w:r>
        <w:rPr>
          <w:rFonts w:hint="default" w:ascii="Times New Roman" w:hAnsi="Times New Roman" w:eastAsia="黑体" w:cs="Times New Roman"/>
          <w:b w:val="0"/>
          <w:color w:val="000000"/>
        </w:rPr>
        <w:t>二、机</w:t>
      </w:r>
      <w:r>
        <w:rPr>
          <w:rStyle w:val="30"/>
          <w:rFonts w:hint="default" w:ascii="Times New Roman" w:hAnsi="Times New Roman" w:eastAsia="黑体" w:cs="Times New Roman"/>
          <w:b w:val="0"/>
          <w:bCs w:val="0"/>
        </w:rPr>
        <w:t>构设置</w:t>
      </w:r>
      <w:bookmarkEnd w:id="20"/>
      <w:bookmarkEnd w:id="21"/>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省国资委下属二级单位2个，其中行政单位1个，参照公务员法管理的事业单位</w:t>
      </w:r>
      <w:r>
        <w:rPr>
          <w:rFonts w:hint="default" w:ascii="Times New Roman" w:hAnsi="Times New Roman" w:eastAsia="仿宋_GB2312" w:cs="Times New Roman"/>
          <w:bCs/>
          <w:sz w:val="32"/>
          <w:szCs w:val="32"/>
        </w:rPr>
        <w:t>0</w:t>
      </w:r>
      <w:r>
        <w:rPr>
          <w:rFonts w:hint="default" w:ascii="Times New Roman" w:hAnsi="Times New Roman" w:eastAsia="仿宋_GB2312" w:cs="Times New Roman"/>
          <w:sz w:val="32"/>
          <w:szCs w:val="32"/>
        </w:rPr>
        <w:t>个，其他事业单位1个。</w:t>
      </w:r>
    </w:p>
    <w:p>
      <w:pPr>
        <w:pStyle w:val="8"/>
        <w:adjustRightInd w:val="0"/>
        <w:snapToGrid w:val="0"/>
        <w:spacing w:beforeLines="0" w:line="550" w:lineRule="exact"/>
        <w:ind w:firstLine="672" w:firstLineChars="21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纳入省国资委2020年度部门决算编制范围的二级预算单位包括：</w:t>
      </w:r>
    </w:p>
    <w:p>
      <w:pPr>
        <w:pStyle w:val="8"/>
        <w:adjustRightInd w:val="0"/>
        <w:snapToGrid w:val="0"/>
        <w:spacing w:beforeLines="0" w:line="550" w:lineRule="exact"/>
        <w:ind w:firstLine="640" w:firstLineChars="200"/>
        <w:outlineLvl w:val="2"/>
        <w:rPr>
          <w:rFonts w:hint="default" w:ascii="Times New Roman" w:hAnsi="Times New Roman" w:cs="Times New Roman"/>
          <w:color w:val="000000"/>
          <w:sz w:val="32"/>
          <w:szCs w:val="32"/>
        </w:rPr>
      </w:pPr>
      <w:bookmarkStart w:id="22" w:name="_Toc15306276"/>
      <w:bookmarkStart w:id="23" w:name="_Toc15377202"/>
      <w:bookmarkStart w:id="24" w:name="_Toc15377433"/>
      <w:bookmarkStart w:id="25" w:name="_Toc15378449"/>
      <w:r>
        <w:rPr>
          <w:rFonts w:hint="default" w:ascii="Times New Roman" w:hAnsi="Times New Roman" w:cs="Times New Roman"/>
          <w:color w:val="000000"/>
          <w:sz w:val="32"/>
          <w:szCs w:val="32"/>
        </w:rPr>
        <w:t>1.省国资委</w:t>
      </w:r>
      <w:bookmarkEnd w:id="22"/>
      <w:bookmarkEnd w:id="23"/>
      <w:bookmarkEnd w:id="24"/>
      <w:bookmarkEnd w:id="25"/>
      <w:bookmarkStart w:id="26" w:name="_Toc15377203"/>
      <w:bookmarkStart w:id="27" w:name="_Toc15306277"/>
      <w:bookmarkStart w:id="28" w:name="_Toc15377434"/>
      <w:bookmarkStart w:id="29" w:name="_Toc15378450"/>
      <w:r>
        <w:rPr>
          <w:rFonts w:hint="default" w:ascii="Times New Roman" w:hAnsi="Times New Roman" w:cs="Times New Roman"/>
          <w:color w:val="000000"/>
          <w:sz w:val="32"/>
          <w:szCs w:val="32"/>
        </w:rPr>
        <w:t>机关</w:t>
      </w:r>
    </w:p>
    <w:p>
      <w:pPr>
        <w:pStyle w:val="8"/>
        <w:adjustRightInd w:val="0"/>
        <w:snapToGrid w:val="0"/>
        <w:spacing w:beforeLines="0" w:line="550" w:lineRule="exact"/>
        <w:ind w:firstLine="640" w:firstLineChars="200"/>
        <w:outlineLvl w:val="2"/>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2.省国资委机关服务中心</w:t>
      </w:r>
      <w:bookmarkEnd w:id="26"/>
      <w:bookmarkEnd w:id="27"/>
      <w:bookmarkEnd w:id="28"/>
      <w:bookmarkEnd w:id="29"/>
      <w:bookmarkStart w:id="30" w:name="_Toc15396602"/>
      <w:bookmarkStart w:id="31" w:name="_Toc15377204"/>
    </w:p>
    <w:p>
      <w:pPr>
        <w:pStyle w:val="8"/>
        <w:adjustRightInd w:val="0"/>
        <w:snapToGrid w:val="0"/>
        <w:spacing w:beforeLines="0" w:line="550" w:lineRule="exact"/>
        <w:ind w:firstLine="640" w:firstLineChars="200"/>
        <w:outlineLvl w:val="2"/>
        <w:rPr>
          <w:rFonts w:hint="default" w:ascii="Times New Roman" w:hAnsi="Times New Roman" w:cs="Times New Roman"/>
          <w:color w:val="000000"/>
          <w:sz w:val="32"/>
          <w:szCs w:val="32"/>
        </w:rPr>
      </w:pPr>
    </w:p>
    <w:p>
      <w:pPr>
        <w:rPr>
          <w:rFonts w:hint="default" w:ascii="Times New Roman" w:hAnsi="Times New Roman" w:eastAsia="方正小标宋简体" w:cs="Times New Roman"/>
          <w:b/>
          <w:color w:val="000000"/>
          <w:sz w:val="44"/>
          <w:szCs w:val="44"/>
        </w:rPr>
      </w:pPr>
      <w:r>
        <w:rPr>
          <w:rFonts w:hint="default" w:ascii="Times New Roman" w:hAnsi="Times New Roman" w:eastAsia="方正小标宋简体" w:cs="Times New Roman"/>
          <w:b/>
          <w:color w:val="000000"/>
          <w:sz w:val="44"/>
          <w:szCs w:val="44"/>
        </w:rPr>
        <w:br w:type="page"/>
      </w:r>
    </w:p>
    <w:p>
      <w:pPr>
        <w:pStyle w:val="8"/>
        <w:keepNext w:val="0"/>
        <w:keepLines w:val="0"/>
        <w:pageBreakBefore w:val="0"/>
        <w:widowControl w:val="0"/>
        <w:kinsoku/>
        <w:wordWrap/>
        <w:overflowPunct/>
        <w:topLinePunct w:val="0"/>
        <w:autoSpaceDE/>
        <w:autoSpaceDN/>
        <w:bidi w:val="0"/>
        <w:adjustRightInd w:val="0"/>
        <w:snapToGrid w:val="0"/>
        <w:spacing w:beforeLines="0" w:line="400" w:lineRule="exact"/>
        <w:ind w:left="0" w:leftChars="0" w:right="0" w:rightChars="0" w:firstLine="883" w:firstLineChars="200"/>
        <w:jc w:val="both"/>
        <w:textAlignment w:val="auto"/>
        <w:outlineLvl w:val="2"/>
        <w:rPr>
          <w:rFonts w:hint="default" w:ascii="Times New Roman" w:hAnsi="Times New Roman" w:eastAsia="方正小标宋简体" w:cs="Times New Roman"/>
          <w:b/>
          <w:color w:val="000000"/>
          <w:sz w:val="44"/>
          <w:szCs w:val="44"/>
        </w:rPr>
      </w:pPr>
    </w:p>
    <w:p>
      <w:pPr>
        <w:pStyle w:val="8"/>
        <w:adjustRightInd w:val="0"/>
        <w:snapToGrid w:val="0"/>
        <w:spacing w:beforeLines="0" w:line="550" w:lineRule="exact"/>
        <w:jc w:val="center"/>
        <w:outlineLvl w:val="2"/>
        <w:rPr>
          <w:rStyle w:val="29"/>
          <w:rFonts w:hint="default" w:ascii="Times New Roman" w:hAnsi="Times New Roman" w:eastAsia="方正小标宋简体" w:cs="Times New Roman"/>
          <w:bCs w:val="0"/>
        </w:rPr>
      </w:pPr>
      <w:r>
        <w:rPr>
          <w:rFonts w:hint="default" w:ascii="Times New Roman" w:hAnsi="Times New Roman" w:eastAsia="方正小标宋简体" w:cs="Times New Roman"/>
          <w:b/>
          <w:color w:val="000000"/>
          <w:sz w:val="44"/>
          <w:szCs w:val="44"/>
        </w:rPr>
        <w:t xml:space="preserve">第二部分 </w:t>
      </w:r>
      <w:r>
        <w:rPr>
          <w:rStyle w:val="29"/>
          <w:rFonts w:hint="default" w:ascii="Times New Roman" w:hAnsi="Times New Roman" w:eastAsia="方正小标宋简体" w:cs="Times New Roman"/>
          <w:bCs w:val="0"/>
        </w:rPr>
        <w:t>2020年度部门决算情况说明</w:t>
      </w:r>
      <w:bookmarkEnd w:id="30"/>
      <w:bookmarkEnd w:id="31"/>
    </w:p>
    <w:p>
      <w:pPr>
        <w:spacing w:line="570" w:lineRule="exact"/>
        <w:rPr>
          <w:rFonts w:hint="default" w:ascii="Times New Roman" w:hAnsi="Times New Roman" w:cs="Times New Roman"/>
        </w:rPr>
      </w:pPr>
    </w:p>
    <w:p>
      <w:pPr>
        <w:pStyle w:val="28"/>
        <w:spacing w:line="570" w:lineRule="exact"/>
        <w:ind w:firstLine="640"/>
        <w:outlineLvl w:val="1"/>
        <w:rPr>
          <w:rStyle w:val="30"/>
          <w:rFonts w:hint="default" w:ascii="Times New Roman" w:hAnsi="Times New Roman" w:eastAsia="黑体" w:cs="Times New Roman"/>
          <w:b w:val="0"/>
        </w:rPr>
      </w:pPr>
      <w:bookmarkStart w:id="32" w:name="_Toc15396603"/>
      <w:bookmarkStart w:id="33" w:name="_Toc15377205"/>
      <w:r>
        <w:rPr>
          <w:rFonts w:hint="default" w:ascii="Times New Roman" w:hAnsi="Times New Roman" w:eastAsia="黑体" w:cs="Times New Roman"/>
          <w:color w:val="000000"/>
          <w:sz w:val="32"/>
          <w:szCs w:val="32"/>
        </w:rPr>
        <w:t>一、收</w:t>
      </w:r>
      <w:r>
        <w:rPr>
          <w:rStyle w:val="30"/>
          <w:rFonts w:hint="default" w:ascii="Times New Roman" w:hAnsi="Times New Roman" w:eastAsia="黑体" w:cs="Times New Roman"/>
          <w:b w:val="0"/>
        </w:rPr>
        <w:t>入支出决算总体情况说明</w:t>
      </w:r>
      <w:bookmarkEnd w:id="32"/>
      <w:bookmarkEnd w:id="33"/>
    </w:p>
    <w:p>
      <w:pPr>
        <w:spacing w:line="57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pict>
          <v:shape id="_x0000_s1028" o:spid="_x0000_s1028" o:spt="75" type="#_x0000_t75" style="position:absolute;left:0pt;margin-left:77.6pt;margin-top:175.95pt;height:176.95pt;width:293.1pt;mso-wrap-distance-bottom:0pt;mso-wrap-distance-top:0pt;z-index:251667456;mso-width-relative:page;mso-height-relative:page;" o:ole="t" filled="f" o:preferrelative="t" stroked="f" coordsize="21600,21600">
            <v:path/>
            <v:fill on="f" focussize="0,0"/>
            <v:stroke on="f" joinstyle="miter"/>
            <v:imagedata r:id="rId8" o:title=""/>
            <o:lock v:ext="edit" aspectratio="t"/>
            <w10:wrap type="topAndBottom"/>
          </v:shape>
          <o:OLEObject Type="Embed" ProgID="Excel.Sheet.8" ShapeID="_x0000_s1028" DrawAspect="Content" ObjectID="_1468075725" r:id="rId7">
            <o:LockedField>false</o:LockedField>
          </o:OLEObject>
        </w:pict>
      </w:r>
      <w:r>
        <w:rPr>
          <w:rFonts w:hint="default" w:ascii="Times New Roman" w:hAnsi="Times New Roman" w:eastAsia="仿宋_GB2312" w:cs="Times New Roman"/>
          <w:sz w:val="32"/>
          <w:szCs w:val="32"/>
        </w:rPr>
        <w:t>2020年收入支出决算数8976.57万元（其中：基本支出5149.79万元，项目支出3826.78万元），较上年收入支出决算数减少1122.54万元，下降11.12%。实际支出减少的主要原因是贯彻落实省委、省政府有关决策部署，大力优化财政支出结构，压减一般性支出预算，财政资金使用效益进一步提高。</w:t>
      </w:r>
    </w:p>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（图1：收、支决算总计变动情况图）</w:t>
      </w:r>
    </w:p>
    <w:p>
      <w:pPr>
        <w:pStyle w:val="28"/>
        <w:spacing w:line="600" w:lineRule="exact"/>
        <w:ind w:firstLine="640"/>
        <w:outlineLvl w:val="1"/>
        <w:rPr>
          <w:rStyle w:val="30"/>
          <w:rFonts w:hint="default" w:ascii="Times New Roman" w:hAnsi="Times New Roman" w:eastAsia="黑体" w:cs="Times New Roman"/>
          <w:b w:val="0"/>
        </w:rPr>
      </w:pPr>
      <w:bookmarkStart w:id="34" w:name="_Toc15377206"/>
      <w:bookmarkStart w:id="35" w:name="_Toc15396604"/>
      <w:r>
        <w:rPr>
          <w:rFonts w:hint="default" w:ascii="Times New Roman" w:hAnsi="Times New Roman" w:eastAsia="黑体" w:cs="Times New Roman"/>
          <w:color w:val="000000"/>
          <w:sz w:val="32"/>
          <w:szCs w:val="32"/>
        </w:rPr>
        <w:t>二、收</w:t>
      </w:r>
      <w:r>
        <w:rPr>
          <w:rStyle w:val="30"/>
          <w:rFonts w:hint="default" w:ascii="Times New Roman" w:hAnsi="Times New Roman" w:eastAsia="黑体" w:cs="Times New Roman"/>
          <w:b w:val="0"/>
        </w:rPr>
        <w:t>入决算情况说明</w:t>
      </w:r>
      <w:bookmarkEnd w:id="34"/>
      <w:bookmarkEnd w:id="35"/>
    </w:p>
    <w:p>
      <w:pPr>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2020年本年收入合计8976.57万元，其中：一般公共预算财政拨款收入8976.53万元，占99.9996%；政府性基金预算财政拨款收入0万元，占0%；</w:t>
      </w:r>
      <w:r>
        <w:rPr>
          <w:rFonts w:hint="default" w:ascii="Times New Roman" w:hAnsi="Times New Roman" w:eastAsia="仿宋_GB2312" w:cs="Times New Roman"/>
          <w:color w:val="000000" w:themeColor="text1"/>
          <w:sz w:val="32"/>
          <w:szCs w:val="32"/>
          <w14:textFill>
            <w14:solidFill>
              <w14:schemeClr w14:val="tx1"/>
            </w14:solidFill>
          </w14:textFill>
        </w:rPr>
        <w:t>上级补助收入0</w:t>
      </w:r>
      <w:r>
        <w:rPr>
          <w:rFonts w:hint="default" w:ascii="Times New Roman" w:hAnsi="Times New Roman" w:eastAsia="仿宋_GB2312" w:cs="Times New Roman"/>
          <w:color w:val="000000"/>
          <w:sz w:val="32"/>
          <w:szCs w:val="32"/>
        </w:rPr>
        <w:t>万元，占0%；事业收入0万元，占0%；经营收入0万元，占0%；附属单位上缴收入0万元，占0%；其他收入0.04万元，占0.0004%。</w:t>
      </w:r>
    </w:p>
    <w:p>
      <w:pPr>
        <w:spacing w:line="600" w:lineRule="exact"/>
        <w:ind w:firstLine="420"/>
        <w:outlineLvl w:val="1"/>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24"/>
        </w:rPr>
        <w:drawing>
          <wp:anchor distT="0" distB="0" distL="114300" distR="114300" simplePos="0" relativeHeight="251661312" behindDoc="0" locked="0" layoutInCell="1" allowOverlap="1">
            <wp:simplePos x="0" y="0"/>
            <wp:positionH relativeFrom="column">
              <wp:posOffset>882015</wp:posOffset>
            </wp:positionH>
            <wp:positionV relativeFrom="paragraph">
              <wp:posOffset>227965</wp:posOffset>
            </wp:positionV>
            <wp:extent cx="3519805" cy="2617470"/>
            <wp:effectExtent l="0" t="0" r="4445"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default" w:ascii="Times New Roman" w:hAnsi="Times New Roman" w:eastAsia="仿宋_GB2312" w:cs="Times New Roman"/>
          <w:sz w:val="24"/>
        </w:rPr>
        <w:t xml:space="preserve">               </w:t>
      </w:r>
      <w:r>
        <w:rPr>
          <w:rFonts w:hint="default" w:ascii="Times New Roman" w:hAnsi="Times New Roman" w:eastAsia="仿宋" w:cs="Times New Roman"/>
          <w:color w:val="000000" w:themeColor="text1"/>
          <w:sz w:val="32"/>
          <w:szCs w:val="32"/>
          <w14:textFill>
            <w14:solidFill>
              <w14:schemeClr w14:val="tx1"/>
            </w14:solidFill>
          </w14:textFill>
        </w:rPr>
        <w:t>（图2：收入决算结构图）</w:t>
      </w:r>
    </w:p>
    <w:p>
      <w:pPr>
        <w:pStyle w:val="28"/>
        <w:spacing w:line="600" w:lineRule="exact"/>
        <w:ind w:firstLine="640"/>
        <w:outlineLvl w:val="1"/>
        <w:rPr>
          <w:rStyle w:val="30"/>
          <w:rFonts w:hint="default" w:ascii="Times New Roman" w:hAnsi="Times New Roman" w:eastAsia="黑体" w:cs="Times New Roman"/>
          <w:b w:val="0"/>
        </w:rPr>
      </w:pPr>
      <w:bookmarkStart w:id="36" w:name="_Toc15396605"/>
      <w:bookmarkStart w:id="37" w:name="_Toc15377207"/>
      <w:r>
        <w:rPr>
          <w:rFonts w:hint="default" w:ascii="Times New Roman" w:hAnsi="Times New Roman" w:eastAsia="黑体" w:cs="Times New Roman"/>
          <w:color w:val="000000"/>
          <w:sz w:val="32"/>
          <w:szCs w:val="32"/>
        </w:rPr>
        <w:t>三、支</w:t>
      </w:r>
      <w:r>
        <w:rPr>
          <w:rStyle w:val="30"/>
          <w:rFonts w:hint="default" w:ascii="Times New Roman" w:hAnsi="Times New Roman" w:eastAsia="黑体" w:cs="Times New Roman"/>
          <w:b w:val="0"/>
        </w:rPr>
        <w:t>出决算情况说明</w:t>
      </w:r>
      <w:bookmarkEnd w:id="36"/>
      <w:bookmarkEnd w:id="37"/>
    </w:p>
    <w:p>
      <w:pPr>
        <w:spacing w:line="600" w:lineRule="exact"/>
        <w:ind w:firstLine="638" w:firstLineChars="266"/>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24"/>
        </w:rPr>
        <w:drawing>
          <wp:anchor distT="0" distB="0" distL="114300" distR="114300" simplePos="0" relativeHeight="251662336" behindDoc="0" locked="0" layoutInCell="1" allowOverlap="1">
            <wp:simplePos x="0" y="0"/>
            <wp:positionH relativeFrom="column">
              <wp:posOffset>859155</wp:posOffset>
            </wp:positionH>
            <wp:positionV relativeFrom="paragraph">
              <wp:posOffset>1677035</wp:posOffset>
            </wp:positionV>
            <wp:extent cx="3492500" cy="2012950"/>
            <wp:effectExtent l="0" t="0" r="0" b="635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default" w:ascii="Times New Roman" w:hAnsi="Times New Roman" w:eastAsia="仿宋_GB2312" w:cs="Times New Roman"/>
          <w:color w:val="000000"/>
          <w:sz w:val="32"/>
          <w:szCs w:val="32"/>
        </w:rPr>
        <w:t>2020年本年支出合计8976.57万元，其中：基本支出5149.79万元，占57.37%；项目支出3826.78万元，占42.63%；上缴上级支出0万元，占0%；经营支出0万元，占0%；对附属单位补助支出0万元，占0%。</w:t>
      </w:r>
    </w:p>
    <w:p>
      <w:pPr>
        <w:spacing w:line="600" w:lineRule="exact"/>
        <w:ind w:firstLine="2240" w:firstLineChars="7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（图3：支出决算结构图）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Style w:val="30"/>
          <w:rFonts w:hint="default" w:ascii="Times New Roman" w:hAnsi="Times New Roman" w:eastAsia="黑体" w:cs="Times New Roman"/>
          <w:b w:val="0"/>
        </w:rPr>
      </w:pPr>
      <w:bookmarkStart w:id="38" w:name="_Toc15396606"/>
      <w:bookmarkStart w:id="39" w:name="_Toc15377208"/>
      <w:r>
        <w:rPr>
          <w:rFonts w:hint="default" w:ascii="Times New Roman" w:hAnsi="Times New Roman" w:eastAsia="黑体" w:cs="Times New Roman"/>
          <w:color w:val="000000"/>
          <w:sz w:val="32"/>
          <w:szCs w:val="32"/>
        </w:rPr>
        <w:t>四、财</w:t>
      </w:r>
      <w:r>
        <w:rPr>
          <w:rStyle w:val="30"/>
          <w:rFonts w:hint="default" w:ascii="Times New Roman" w:hAnsi="Times New Roman" w:eastAsia="黑体" w:cs="Times New Roman"/>
          <w:b w:val="0"/>
        </w:rPr>
        <w:t>政拨款收入支出决算总体情况说明</w:t>
      </w:r>
      <w:bookmarkEnd w:id="38"/>
      <w:bookmarkEnd w:id="39"/>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drawing>
          <wp:anchor distT="0" distB="0" distL="114300" distR="114300" simplePos="0" relativeHeight="251663360" behindDoc="0" locked="0" layoutInCell="1" allowOverlap="1">
            <wp:simplePos x="0" y="0"/>
            <wp:positionH relativeFrom="column">
              <wp:posOffset>999490</wp:posOffset>
            </wp:positionH>
            <wp:positionV relativeFrom="paragraph">
              <wp:posOffset>2012950</wp:posOffset>
            </wp:positionV>
            <wp:extent cx="3597275" cy="2228850"/>
            <wp:effectExtent l="0" t="0" r="3175"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default" w:ascii="Times New Roman" w:hAnsi="Times New Roman" w:eastAsia="仿宋_GB2312" w:cs="Times New Roman"/>
          <w:color w:val="000000"/>
          <w:sz w:val="32"/>
          <w:szCs w:val="32"/>
        </w:rPr>
        <w:t>2020年财政拨款收、支总计8976.53万元。与2019年相比，财政拨款收、支总计各减少1122.52万元，下降11.12%。主要变动原因是贯彻落实省委、省政府有关决策部署，大力优化财政支出结构，压减一般性支出预算，财政资金使用效益进一步提高。</w:t>
      </w:r>
    </w:p>
    <w:p>
      <w:pPr>
        <w:spacing w:line="600" w:lineRule="exact"/>
        <w:ind w:firstLine="1280" w:firstLineChars="4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（图4：财政拨款收、支决算总计变动情况）</w:t>
      </w:r>
    </w:p>
    <w:p>
      <w:pPr>
        <w:spacing w:line="600" w:lineRule="exact"/>
        <w:ind w:firstLine="640" w:firstLineChars="200"/>
        <w:outlineLvl w:val="1"/>
        <w:rPr>
          <w:rStyle w:val="30"/>
          <w:rFonts w:hint="default" w:ascii="Times New Roman" w:hAnsi="Times New Roman" w:eastAsia="黑体" w:cs="Times New Roman"/>
          <w:b w:val="0"/>
        </w:rPr>
      </w:pPr>
      <w:bookmarkStart w:id="40" w:name="_Toc15377209"/>
      <w:bookmarkStart w:id="41" w:name="_Toc15396607"/>
      <w:r>
        <w:rPr>
          <w:rFonts w:hint="default" w:ascii="Times New Roman" w:hAnsi="Times New Roman" w:eastAsia="黑体" w:cs="Times New Roman"/>
          <w:color w:val="000000"/>
          <w:sz w:val="32"/>
          <w:szCs w:val="32"/>
        </w:rPr>
        <w:t>五</w:t>
      </w:r>
      <w:r>
        <w:rPr>
          <w:rFonts w:hint="default" w:ascii="Times New Roman" w:hAnsi="Times New Roman" w:eastAsia="黑体" w:cs="Times New Roman"/>
          <w:b/>
          <w:color w:val="000000"/>
          <w:sz w:val="32"/>
          <w:szCs w:val="32"/>
        </w:rPr>
        <w:t>、</w:t>
      </w:r>
      <w:r>
        <w:rPr>
          <w:rFonts w:hint="default" w:ascii="Times New Roman" w:hAnsi="Times New Roman" w:eastAsia="黑体" w:cs="Times New Roman"/>
          <w:color w:val="000000"/>
          <w:sz w:val="32"/>
          <w:szCs w:val="32"/>
        </w:rPr>
        <w:t>一</w:t>
      </w:r>
      <w:r>
        <w:rPr>
          <w:rStyle w:val="30"/>
          <w:rFonts w:hint="default" w:ascii="Times New Roman" w:hAnsi="Times New Roman" w:eastAsia="黑体" w:cs="Times New Roman"/>
          <w:b w:val="0"/>
        </w:rPr>
        <w:t>般公共预算财政拨款支出决算情况说明</w:t>
      </w:r>
      <w:bookmarkEnd w:id="40"/>
      <w:bookmarkEnd w:id="41"/>
    </w:p>
    <w:p>
      <w:pPr>
        <w:spacing w:line="600" w:lineRule="exact"/>
        <w:ind w:firstLine="642" w:firstLineChars="200"/>
        <w:outlineLvl w:val="2"/>
        <w:rPr>
          <w:rFonts w:hint="default" w:ascii="Times New Roman" w:hAnsi="Times New Roman" w:eastAsia="楷体_GB2312" w:cs="Times New Roman"/>
          <w:b/>
          <w:color w:val="000000"/>
          <w:sz w:val="32"/>
          <w:szCs w:val="32"/>
        </w:rPr>
      </w:pPr>
      <w:bookmarkStart w:id="42" w:name="_Toc15377210"/>
      <w:r>
        <w:rPr>
          <w:rFonts w:hint="default" w:ascii="Times New Roman" w:hAnsi="Times New Roman" w:eastAsia="楷体_GB2312" w:cs="Times New Roman"/>
          <w:b/>
          <w:color w:val="000000"/>
          <w:sz w:val="32"/>
          <w:szCs w:val="32"/>
        </w:rPr>
        <w:t>（一）一般公共预算财政拨款支出决算总体情况</w:t>
      </w:r>
      <w:bookmarkEnd w:id="42"/>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一般公共预算财政拨款支出8976.53万元，占本年支出合计的99.9996%。与2019年相比，一般公共预算财政拨款减少1122.52万元，下降11.12%。主要变动原因是贯彻落实省委、省政府有关决策部署，大力优化财政支出结构，压减一般性支出预算，财政资金使用效益进一步提高。</w: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drawing>
          <wp:anchor distT="0" distB="0" distL="114300" distR="114300" simplePos="0" relativeHeight="251666432" behindDoc="0" locked="0" layoutInCell="1" allowOverlap="1">
            <wp:simplePos x="0" y="0"/>
            <wp:positionH relativeFrom="column">
              <wp:posOffset>1075055</wp:posOffset>
            </wp:positionH>
            <wp:positionV relativeFrom="paragraph">
              <wp:posOffset>115570</wp:posOffset>
            </wp:positionV>
            <wp:extent cx="3308350" cy="1746250"/>
            <wp:effectExtent l="0" t="0" r="6350" b="635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default" w:ascii="Times New Roman" w:hAnsi="Times New Roman" w:eastAsia="仿宋" w:cs="Times New Roman"/>
          <w:color w:val="000000" w:themeColor="text1"/>
          <w:sz w:val="32"/>
          <w:szCs w:val="32"/>
          <w14:textFill>
            <w14:solidFill>
              <w14:schemeClr w14:val="tx1"/>
            </w14:solidFill>
          </w14:textFill>
        </w:rPr>
        <w:t>（图5：一般公共预算财政拨款支出决算变动情况）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2"/>
        <w:rPr>
          <w:rFonts w:hint="default" w:ascii="Times New Roman" w:hAnsi="Times New Roman" w:eastAsia="楷体_GB2312" w:cs="Times New Roman"/>
          <w:b/>
          <w:color w:val="000000"/>
          <w:sz w:val="32"/>
          <w:szCs w:val="32"/>
        </w:rPr>
      </w:pPr>
      <w:bookmarkStart w:id="43" w:name="_Toc15377211"/>
      <w:r>
        <w:rPr>
          <w:rFonts w:hint="default" w:ascii="Times New Roman" w:hAnsi="Times New Roman" w:eastAsia="楷体_GB2312" w:cs="Times New Roman"/>
          <w:b/>
          <w:color w:val="000000"/>
          <w:sz w:val="32"/>
          <w:szCs w:val="32"/>
        </w:rPr>
        <w:t>（二）一般公共预算财政拨款支出决算结构情况</w:t>
      </w:r>
      <w:bookmarkEnd w:id="43"/>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一般公共预算财政拨款支出8976.53万元，主要用于以下方面:一般公共服务（类）支出24万元，占0.27%；教育（类）支出39.39万元，占0.44%；科学技术（类）支出765万元，占8.52%；社会保障和就业（类）支出1932.3万元，占21.53%；卫生健康（类）支出176.8万元，占1.97%；资源勘探工业信息等（类）支出5716.6万元，占63.68%；住房保障（类）支出317.43万元，占3.54%；灾害防治及应急管理（类）支出5万元，占0.06%。</w:t>
      </w:r>
    </w:p>
    <w:p>
      <w:pPr>
        <w:spacing w:line="600"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drawing>
          <wp:anchor distT="0" distB="0" distL="114300" distR="114300" simplePos="0" relativeHeight="251664384" behindDoc="0" locked="0" layoutInCell="1" allowOverlap="1">
            <wp:simplePos x="0" y="0"/>
            <wp:positionH relativeFrom="column">
              <wp:posOffset>262255</wp:posOffset>
            </wp:positionH>
            <wp:positionV relativeFrom="paragraph">
              <wp:posOffset>400050</wp:posOffset>
            </wp:positionV>
            <wp:extent cx="5264150" cy="2559050"/>
            <wp:effectExtent l="0" t="0" r="0"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（图6：一般公共预算财政拨款支出决算结构）</w:t>
      </w:r>
    </w:p>
    <w:p>
      <w:pPr>
        <w:spacing w:line="570" w:lineRule="exact"/>
        <w:ind w:firstLine="642" w:firstLineChars="200"/>
        <w:outlineLvl w:val="2"/>
        <w:rPr>
          <w:rFonts w:hint="default" w:ascii="Times New Roman" w:hAnsi="Times New Roman" w:eastAsia="楷体_GB2312" w:cs="Times New Roman"/>
          <w:b/>
          <w:color w:val="000000"/>
          <w:sz w:val="32"/>
          <w:szCs w:val="32"/>
        </w:rPr>
      </w:pPr>
      <w:bookmarkStart w:id="44" w:name="_Toc15377212"/>
      <w:r>
        <w:rPr>
          <w:rFonts w:hint="default" w:ascii="Times New Roman" w:hAnsi="Times New Roman" w:eastAsia="楷体_GB2312" w:cs="Times New Roman"/>
          <w:b/>
          <w:color w:val="000000"/>
          <w:sz w:val="32"/>
          <w:szCs w:val="32"/>
        </w:rPr>
        <w:t>（三）一般公共预算财政拨款支出决算具体情况</w:t>
      </w:r>
      <w:bookmarkEnd w:id="44"/>
    </w:p>
    <w:p>
      <w:pPr>
        <w:spacing w:line="570" w:lineRule="exact"/>
        <w:ind w:firstLine="640" w:firstLineChars="200"/>
        <w:rPr>
          <w:rFonts w:hint="default" w:ascii="Times New Roman" w:hAnsi="Times New Roman" w:eastAsia="仿宋_GB2312" w:cs="Times New Roman"/>
          <w:color w:val="000000"/>
          <w:sz w:val="32"/>
          <w:szCs w:val="32"/>
        </w:rPr>
      </w:pPr>
      <w:bookmarkStart w:id="45" w:name="_Toc15377444"/>
      <w:bookmarkStart w:id="46" w:name="_Toc15378460"/>
      <w:bookmarkStart w:id="47" w:name="_Toc15377213"/>
      <w:r>
        <w:rPr>
          <w:rFonts w:hint="default" w:ascii="Times New Roman" w:hAnsi="Times New Roman" w:eastAsia="仿宋_GB2312" w:cs="Times New Roman"/>
          <w:color w:val="000000"/>
          <w:sz w:val="32"/>
          <w:szCs w:val="32"/>
        </w:rPr>
        <w:t>2020年一般公共预算支出决算数为8976.53万元，完成预算96.59%。其中：</w:t>
      </w:r>
      <w:bookmarkEnd w:id="45"/>
      <w:bookmarkEnd w:id="46"/>
      <w:bookmarkEnd w:id="47"/>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1.一般公共服务支出（类）组织事务（款）其他组织事务支出（项）: 支出决算为24万元，完成预算100%。</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2.教育支出（类）进修及培训（款）培训支出（项）: 支出决算为39.39万元，完成预算82.06%，决算数小于预算数的主要原因是厉行节约及受疫情影响，培训任务减少。</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3.科学技术支出（类）科技重大项目（款）重点研发计划（项）:支出决算为180万元，完成预算100%。</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4.科学技术支出（类）其他科学技术支出（款）其他科学技术支出（项）: 支出决算为585万元，完成预算100%。</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5.社会保障和就业支出（类）行政事业单位养老支出（款）行政单位离退休（项）: 支出决算为141.89万元，完成预算100%。</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6.社会保障和就业支出（类）行政事业单位养老支出（款）事业单位离退休（项）: 支出决算为3.17万元，完成预算100%。</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7.社会保障和就业支出（类）行政事业单位养老支出（款）机关事业单位基本养老保险缴费支出（项）: 支出决算为193.28万元，完成预算100%。</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8.社会保障和就业（类）其他社会保障和就业支出（款）其他社会保障和就业支出（项）: 支出决算为1593.95万元，完成预算100%。</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9.卫生健康支出（类）行政事业单位医疗（款）行政单位医疗（项）:支出决算为147.91万元，完成预算100%。</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10.卫生健康（类）行政事业单位医疗（款）公务员医疗补助（项）:支出决算为28.89万元，完成预算100%。</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11.资源勘探工业信息等支出（类）国有资产监管（款）行政运行（项）:支出决算为2531.5万元，完成预算</w:t>
      </w:r>
      <w:r>
        <w:rPr>
          <w:rFonts w:hint="default" w:ascii="Times New Roman" w:hAnsi="Times New Roman" w:eastAsia="仿宋_GB2312" w:cs="Times New Roman"/>
          <w:color w:val="000000"/>
          <w:sz w:val="32"/>
          <w:szCs w:val="32"/>
          <w:lang w:val="en-US" w:eastAsia="zh-CN"/>
        </w:rPr>
        <w:t>99.47</w:t>
      </w:r>
      <w:r>
        <w:rPr>
          <w:rFonts w:hint="default" w:ascii="Times New Roman" w:hAnsi="Times New Roman" w:eastAsia="仿宋_GB2312" w:cs="Times New Roman"/>
          <w:color w:val="000000"/>
          <w:sz w:val="32"/>
          <w:szCs w:val="32"/>
        </w:rPr>
        <w:t>%。</w:t>
      </w:r>
    </w:p>
    <w:p>
      <w:pPr>
        <w:pStyle w:val="2"/>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0" w:firstLineChars="0"/>
        <w:jc w:val="left"/>
        <w:textAlignment w:val="auto"/>
        <w:outlineLvl w:val="9"/>
        <w:rPr>
          <w:rFonts w:hint="default" w:ascii="Times New Roman" w:hAnsi="Times New Roman" w:eastAsia="仿宋_GB2312" w:cs="Times New Roman"/>
          <w:color w:val="000000"/>
          <w:w w:val="98"/>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CN" w:bidi="ar-SA"/>
        </w:rPr>
        <w:t>决算数小于预算数的主要原因</w:t>
      </w:r>
      <w:r>
        <w:rPr>
          <w:rFonts w:hint="eastAsia" w:eastAsia="仿宋_GB2312" w:cs="Times New Roman"/>
          <w:color w:val="000000"/>
          <w:kern w:val="2"/>
          <w:sz w:val="32"/>
          <w:szCs w:val="32"/>
          <w:highlight w:val="none"/>
          <w:lang w:val="en-US" w:eastAsia="zh-CN" w:bidi="ar-SA"/>
        </w:rPr>
        <w:t>一</w:t>
      </w:r>
      <w:r>
        <w:rPr>
          <w:rFonts w:hint="default" w:ascii="Times New Roman" w:hAnsi="Times New Roman" w:eastAsia="仿宋_GB2312" w:cs="Times New Roman"/>
          <w:color w:val="000000"/>
          <w:kern w:val="2"/>
          <w:sz w:val="32"/>
          <w:szCs w:val="32"/>
          <w:highlight w:val="none"/>
          <w:lang w:val="en-US" w:eastAsia="zh-CN" w:bidi="ar-SA"/>
        </w:rPr>
        <w:t>是政府采购项目</w:t>
      </w:r>
      <w:r>
        <w:rPr>
          <w:rFonts w:hint="eastAsia" w:eastAsia="仿宋_GB2312" w:cs="Times New Roman"/>
          <w:color w:val="000000"/>
          <w:kern w:val="2"/>
          <w:sz w:val="32"/>
          <w:szCs w:val="32"/>
          <w:highlight w:val="none"/>
          <w:lang w:val="en-US" w:eastAsia="zh-CN" w:bidi="ar-SA"/>
        </w:rPr>
        <w:t>低价中标</w:t>
      </w:r>
      <w:r>
        <w:rPr>
          <w:rFonts w:hint="default" w:ascii="Times New Roman" w:hAnsi="Times New Roman" w:eastAsia="仿宋_GB2312" w:cs="Times New Roman"/>
          <w:color w:val="000000"/>
          <w:kern w:val="2"/>
          <w:sz w:val="32"/>
          <w:szCs w:val="32"/>
          <w:highlight w:val="none"/>
          <w:lang w:val="en-US" w:eastAsia="zh-CN" w:bidi="ar-SA"/>
        </w:rPr>
        <w:t>存在资金结余</w:t>
      </w:r>
      <w:r>
        <w:rPr>
          <w:rFonts w:hint="eastAsia" w:eastAsia="仿宋_GB2312" w:cs="Times New Roman"/>
          <w:color w:val="000000"/>
          <w:kern w:val="2"/>
          <w:sz w:val="32"/>
          <w:szCs w:val="32"/>
          <w:highlight w:val="none"/>
          <w:lang w:val="en-US" w:eastAsia="zh-CN" w:bidi="ar-SA"/>
        </w:rPr>
        <w:t>。二是</w:t>
      </w:r>
      <w:r>
        <w:rPr>
          <w:rFonts w:hint="default" w:ascii="Times New Roman" w:hAnsi="Times New Roman" w:eastAsia="仿宋_GB2312" w:cs="Times New Roman"/>
          <w:color w:val="000000"/>
          <w:kern w:val="2"/>
          <w:sz w:val="32"/>
          <w:szCs w:val="32"/>
          <w:highlight w:val="none"/>
          <w:lang w:val="en-US" w:eastAsia="zh-CN" w:bidi="ar-SA"/>
        </w:rPr>
        <w:t>受疫情影响，</w:t>
      </w:r>
      <w:r>
        <w:rPr>
          <w:rFonts w:hint="eastAsia" w:eastAsia="仿宋_GB2312" w:cs="Times New Roman"/>
          <w:color w:val="000000"/>
          <w:kern w:val="2"/>
          <w:sz w:val="32"/>
          <w:szCs w:val="32"/>
          <w:highlight w:val="none"/>
          <w:lang w:val="en-US" w:eastAsia="zh-CN" w:bidi="ar-SA"/>
        </w:rPr>
        <w:t>会议、公务接待</w:t>
      </w:r>
      <w:r>
        <w:rPr>
          <w:rFonts w:hint="default" w:ascii="Times New Roman" w:hAnsi="Times New Roman" w:eastAsia="仿宋_GB2312" w:cs="Times New Roman"/>
          <w:color w:val="000000"/>
          <w:kern w:val="2"/>
          <w:sz w:val="32"/>
          <w:szCs w:val="32"/>
          <w:highlight w:val="none"/>
          <w:lang w:val="en-US" w:eastAsia="zh-CN" w:bidi="ar-SA"/>
        </w:rPr>
        <w:t>酌情减少</w:t>
      </w:r>
      <w:r>
        <w:rPr>
          <w:rFonts w:hint="eastAsia" w:eastAsia="仿宋_GB2312" w:cs="Times New Roman"/>
          <w:color w:val="000000"/>
          <w:w w:val="98"/>
          <w:kern w:val="2"/>
          <w:sz w:val="32"/>
          <w:szCs w:val="32"/>
          <w:highlight w:val="none"/>
          <w:lang w:val="en-US" w:eastAsia="zh-CN" w:bidi="ar-SA"/>
        </w:rPr>
        <w:t>存在资金结余。三是人员变动导致公积金、公务交通补贴结余。</w:t>
      </w:r>
    </w:p>
    <w:p>
      <w:pPr>
        <w:spacing w:line="57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12.资源勘探信息等（类）国有资产监管（款）一般行政管理事务（项）:支出决算为2895.78万元，完成预算</w:t>
      </w:r>
      <w:r>
        <w:rPr>
          <w:rFonts w:hint="default" w:ascii="Times New Roman" w:hAnsi="Times New Roman" w:eastAsia="仿宋_GB2312" w:cs="Times New Roman"/>
          <w:color w:val="000000"/>
          <w:sz w:val="32"/>
          <w:szCs w:val="32"/>
          <w:lang w:val="en-US" w:eastAsia="zh-CN"/>
        </w:rPr>
        <w:t>90.99</w:t>
      </w:r>
      <w:r>
        <w:rPr>
          <w:rFonts w:hint="default" w:ascii="Times New Roman" w:hAnsi="Times New Roman" w:eastAsia="仿宋_GB2312" w:cs="Times New Roman"/>
          <w:color w:val="000000"/>
          <w:sz w:val="32"/>
          <w:szCs w:val="32"/>
        </w:rPr>
        <w:t>%。决算数小于预算数的主要原因是</w:t>
      </w:r>
      <w:r>
        <w:rPr>
          <w:rFonts w:hint="default" w:ascii="Times New Roman" w:hAnsi="Times New Roman" w:eastAsia="仿宋_GB2312" w:cs="Times New Roman"/>
          <w:color w:val="000000"/>
          <w:sz w:val="32"/>
          <w:szCs w:val="32"/>
          <w:lang w:val="en-US" w:eastAsia="zh-CN"/>
        </w:rPr>
        <w:t>政府采购项目存在资金结余。</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13.资源勘探信息等（类）国有资产监管（款）机关服务（项）:支出决算为277.36万元，完成预算100%。</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14.资源勘探信息等（类）国有资产监管（款）其他国有资产监管支出（项）:支出决算为12万元，完成预算100%。</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15.住房保障（类）住房改革（款）住房公积金（项）:支出决算为197.22万元，完成预算100%。</w:t>
      </w:r>
    </w:p>
    <w:p>
      <w:pPr>
        <w:spacing w:line="57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16.住房保障（类）住房改革（款）购房补贴（项）:支出决算为120.21万元，完成预算</w:t>
      </w:r>
      <w:r>
        <w:rPr>
          <w:rFonts w:hint="default" w:ascii="Times New Roman" w:hAnsi="Times New Roman" w:eastAsia="仿宋_GB2312" w:cs="Times New Roman"/>
          <w:color w:val="000000"/>
          <w:sz w:val="32"/>
          <w:szCs w:val="32"/>
          <w:lang w:val="en-US" w:eastAsia="zh-CN"/>
        </w:rPr>
        <w:t>93.56</w:t>
      </w:r>
      <w:r>
        <w:rPr>
          <w:rFonts w:hint="default" w:ascii="Times New Roman" w:hAnsi="Times New Roman" w:eastAsia="仿宋_GB2312" w:cs="Times New Roman"/>
          <w:color w:val="000000"/>
          <w:sz w:val="32"/>
          <w:szCs w:val="32"/>
        </w:rPr>
        <w:t>%。决算数小于预算数的主要原因是</w:t>
      </w:r>
      <w:r>
        <w:rPr>
          <w:rFonts w:hint="default" w:ascii="Times New Roman" w:hAnsi="Times New Roman" w:eastAsia="仿宋_GB2312" w:cs="Times New Roman"/>
          <w:color w:val="000000"/>
          <w:sz w:val="32"/>
          <w:szCs w:val="32"/>
          <w:lang w:val="en-US" w:eastAsia="zh-CN"/>
        </w:rPr>
        <w:t>人员变动导致购房补贴结余。</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17.灾害防治及应急管理（类）应急管理事务（款）其他应急管理支出（项）:支出决算为5万元，完成预算100%。</w:t>
      </w:r>
    </w:p>
    <w:p>
      <w:pPr>
        <w:tabs>
          <w:tab w:val="right" w:pos="8306"/>
        </w:tabs>
        <w:spacing w:line="570" w:lineRule="exact"/>
        <w:ind w:firstLine="640"/>
        <w:outlineLvl w:val="1"/>
        <w:rPr>
          <w:rStyle w:val="30"/>
          <w:rFonts w:hint="default" w:ascii="Times New Roman" w:hAnsi="Times New Roman" w:cs="Times New Roman"/>
        </w:rPr>
      </w:pPr>
      <w:bookmarkStart w:id="48" w:name="_Toc15396608"/>
      <w:bookmarkStart w:id="49" w:name="_Toc15377214"/>
      <w:r>
        <w:rPr>
          <w:rFonts w:hint="default" w:ascii="Times New Roman" w:hAnsi="Times New Roman" w:eastAsia="黑体" w:cs="Times New Roman"/>
          <w:color w:val="000000"/>
          <w:sz w:val="32"/>
          <w:szCs w:val="32"/>
        </w:rPr>
        <w:t>六</w:t>
      </w:r>
      <w:r>
        <w:rPr>
          <w:rFonts w:hint="default" w:ascii="Times New Roman" w:hAnsi="Times New Roman" w:eastAsia="黑体" w:cs="Times New Roman"/>
          <w:b/>
          <w:color w:val="000000"/>
          <w:sz w:val="32"/>
          <w:szCs w:val="32"/>
        </w:rPr>
        <w:t>、一</w:t>
      </w:r>
      <w:r>
        <w:rPr>
          <w:rStyle w:val="30"/>
          <w:rFonts w:hint="default" w:ascii="Times New Roman" w:hAnsi="Times New Roman" w:eastAsia="黑体" w:cs="Times New Roman"/>
          <w:b w:val="0"/>
        </w:rPr>
        <w:t>般公共预算财政拨款基本支出决算情况说明</w:t>
      </w:r>
      <w:bookmarkEnd w:id="48"/>
      <w:bookmarkEnd w:id="49"/>
      <w:r>
        <w:rPr>
          <w:rStyle w:val="30"/>
          <w:rFonts w:hint="default" w:ascii="Times New Roman" w:hAnsi="Times New Roman" w:eastAsia="黑体" w:cs="Times New Roman"/>
          <w:b w:val="0"/>
        </w:rPr>
        <w:tab/>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2020年一般公共预算财政拨款基本支出5149.75万元，其中：</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人员经费4179.3万元，主要包括：基本工资、津贴补贴、奖金、绩效工资、机关事业单位基本养老保险缴费、职工基本医疗保险缴费、公务员医疗补助缴费、其他社会保障缴费、其他工资福利支出、奖金、住房公积金、对个人和家庭的补助支出等。</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日常公用经费970.45万元，主要包括：办公费、印刷费、手续费、水费、电费、邮电费、物业管理费、差旅费、维修（护）费、租赁费、会议费、培训费、公务接待费、劳务费、工会经费、福利费、公务用车运行维护费、其他交通费、其他商品和服务支出等。</w:t>
      </w:r>
    </w:p>
    <w:p>
      <w:pPr>
        <w:spacing w:line="570" w:lineRule="exact"/>
        <w:ind w:firstLine="640"/>
        <w:outlineLvl w:val="1"/>
        <w:rPr>
          <w:rStyle w:val="30"/>
          <w:rFonts w:hint="default" w:ascii="Times New Roman" w:hAnsi="Times New Roman" w:eastAsia="黑体" w:cs="Times New Roman"/>
          <w:b w:val="0"/>
        </w:rPr>
      </w:pPr>
      <w:bookmarkStart w:id="50" w:name="_Toc15396609"/>
      <w:bookmarkStart w:id="51" w:name="_Toc15377215"/>
      <w:r>
        <w:rPr>
          <w:rFonts w:hint="default" w:ascii="Times New Roman" w:hAnsi="Times New Roman" w:eastAsia="黑体" w:cs="Times New Roman"/>
          <w:color w:val="000000"/>
          <w:sz w:val="32"/>
          <w:szCs w:val="32"/>
        </w:rPr>
        <w:t>七、</w:t>
      </w:r>
      <w:r>
        <w:rPr>
          <w:rStyle w:val="30"/>
          <w:rFonts w:hint="default" w:ascii="Times New Roman" w:hAnsi="Times New Roman" w:eastAsia="黑体" w:cs="Times New Roman"/>
        </w:rPr>
        <w:t>“</w:t>
      </w:r>
      <w:r>
        <w:rPr>
          <w:rStyle w:val="30"/>
          <w:rFonts w:hint="default" w:ascii="Times New Roman" w:hAnsi="Times New Roman" w:eastAsia="黑体" w:cs="Times New Roman"/>
          <w:b w:val="0"/>
        </w:rPr>
        <w:t>三公”经费财政拨款支出决算情况说明</w:t>
      </w:r>
      <w:bookmarkEnd w:id="50"/>
      <w:bookmarkEnd w:id="51"/>
    </w:p>
    <w:p>
      <w:pPr>
        <w:spacing w:line="570" w:lineRule="exact"/>
        <w:ind w:firstLine="642" w:firstLineChars="200"/>
        <w:outlineLvl w:val="2"/>
        <w:rPr>
          <w:rFonts w:hint="default" w:ascii="Times New Roman" w:hAnsi="Times New Roman" w:eastAsia="楷体_GB2312" w:cs="Times New Roman"/>
          <w:b/>
          <w:color w:val="000000"/>
          <w:sz w:val="32"/>
          <w:szCs w:val="32"/>
        </w:rPr>
      </w:pPr>
      <w:bookmarkStart w:id="52" w:name="_Toc15377216"/>
      <w:r>
        <w:rPr>
          <w:rFonts w:hint="default" w:ascii="Times New Roman" w:hAnsi="Times New Roman" w:eastAsia="楷体_GB2312" w:cs="Times New Roman"/>
          <w:b/>
          <w:color w:val="000000"/>
          <w:sz w:val="32"/>
          <w:szCs w:val="32"/>
        </w:rPr>
        <w:t>（一）“三公”经费财政拨款支出决算总体情况说明</w:t>
      </w:r>
      <w:bookmarkEnd w:id="52"/>
    </w:p>
    <w:p>
      <w:pPr>
        <w:spacing w:line="570" w:lineRule="exact"/>
        <w:ind w:firstLine="640" w:firstLineChars="200"/>
        <w:rPr>
          <w:rFonts w:hint="default" w:ascii="Times New Roman" w:hAnsi="Times New Roman" w:eastAsia="仿宋_GB2312" w:cs="Times New Roman"/>
          <w:color w:val="000000"/>
          <w:spacing w:val="-11"/>
          <w:sz w:val="32"/>
          <w:szCs w:val="32"/>
        </w:rPr>
      </w:pPr>
      <w:r>
        <w:rPr>
          <w:rFonts w:hint="default" w:ascii="Times New Roman" w:hAnsi="Times New Roman" w:eastAsia="仿宋_GB2312" w:cs="Times New Roman"/>
          <w:color w:val="000000"/>
          <w:sz w:val="32"/>
          <w:szCs w:val="32"/>
        </w:rPr>
        <w:t>2020年“三公”经费财政拨款支出决算为41.53万元，完成预算51.91%，决算数小于预算数的主要原因：一是厉行勤俭节约，公务接待费年初预算3万元，实际支出2.53万元；二是因公</w:t>
      </w:r>
      <w:r>
        <w:rPr>
          <w:rFonts w:hint="default" w:ascii="Times New Roman" w:hAnsi="Times New Roman" w:eastAsia="仿宋_GB2312" w:cs="Times New Roman"/>
          <w:color w:val="000000"/>
          <w:spacing w:val="-11"/>
          <w:sz w:val="32"/>
          <w:szCs w:val="32"/>
        </w:rPr>
        <w:t>出国（境）经费预算38万元，因新冠疫情影响，该预算指标被财政收回，实际支出0万元。</w:t>
      </w:r>
    </w:p>
    <w:p>
      <w:pPr>
        <w:spacing w:line="570" w:lineRule="exact"/>
        <w:ind w:firstLine="642" w:firstLineChars="200"/>
        <w:outlineLvl w:val="2"/>
        <w:rPr>
          <w:rFonts w:hint="default" w:ascii="Times New Roman" w:hAnsi="Times New Roman" w:eastAsia="楷体_GB2312" w:cs="Times New Roman"/>
          <w:b/>
          <w:color w:val="000000"/>
          <w:sz w:val="32"/>
          <w:szCs w:val="32"/>
        </w:rPr>
      </w:pPr>
      <w:bookmarkStart w:id="53" w:name="_Toc15377217"/>
      <w:r>
        <w:rPr>
          <w:rFonts w:hint="default" w:ascii="Times New Roman" w:hAnsi="Times New Roman" w:eastAsia="楷体_GB2312" w:cs="Times New Roman"/>
          <w:b/>
          <w:color w:val="000000"/>
          <w:sz w:val="32"/>
          <w:szCs w:val="32"/>
        </w:rPr>
        <w:t>（二）“三公”经费财政拨款支出决算具体情况说明</w:t>
      </w:r>
      <w:bookmarkEnd w:id="53"/>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2020年“三公”经费财政拨款支出决算中，因公出国（境）费支出决算0万元，占0%；公务用车购置及运行维护费支出决算39万元，占93.91%；公务接待费支出决算2.53万元，占6.09%。具体情况如下：</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drawing>
          <wp:anchor distT="0" distB="0" distL="114300" distR="114300" simplePos="0" relativeHeight="251665408" behindDoc="0" locked="0" layoutInCell="1" allowOverlap="1">
            <wp:simplePos x="0" y="0"/>
            <wp:positionH relativeFrom="column">
              <wp:posOffset>55245</wp:posOffset>
            </wp:positionH>
            <wp:positionV relativeFrom="paragraph">
              <wp:posOffset>243205</wp:posOffset>
            </wp:positionV>
            <wp:extent cx="5324475" cy="2348230"/>
            <wp:effectExtent l="0" t="0" r="0"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default" w:ascii="Times New Roman" w:hAnsi="Times New Roman" w:eastAsia="仿宋_GB2312" w:cs="Times New Roman"/>
          <w:color w:val="000000"/>
          <w:sz w:val="32"/>
          <w:szCs w:val="32"/>
        </w:rPr>
        <w:t>（图7：“三公”经费财政拨款支出结构）（饼状图）</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1.因公出国（境）经费支出0万元，完成预算0%。因受新冠疫情影响，2020年未开展出国、出访工作任务，财政收回年初预算指标38万元。</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2.公务用车购置及运行维护费支出39万元,完成预算100%。公务用车购置及运行维护费支出决算比2019年减少4.08万元，下降9.48%。主要原因是本年未发生汽车大修开支。</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其中：公务用车购置支出0万元。全年按规定更新购置公务用车0辆，金额0元。截至2020年12月底，单位共有公务用车9辆，其中：主要领导干部用车1辆、机要通信用车1辆、离退休干部用车1辆、应急保障用车3辆、其他用车3辆。</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公务用车运行维护费支出39万元。主要用于保障单位公文交换、省内企业调研工作等所需的公务用车燃料费、维修费、过路过桥费、保险费等支出。</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公务接待费支出2.53万元，完成预算84.33%。公务接待费支出决算比2019年增加1.34万元，增长112.22%。主要原因是2020年除开展接待各省市国资委来川调研考察外，增加中央在川企业，四川省与中央企业合作发展座谈会暨项目签约仪式有关活动公务接待支出。其中：</w:t>
      </w:r>
    </w:p>
    <w:p>
      <w:pPr>
        <w:spacing w:line="55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000000"/>
          <w:sz w:val="32"/>
          <w:szCs w:val="32"/>
        </w:rPr>
        <w:t>国内公务接待支出2.53万元，主要用于上级开展各项检查、督导以及各省（市）国资委来我委调研、考察、交流、学习15批次，合计152人次，共计支出2.53万元。</w:t>
      </w:r>
      <w:r>
        <w:rPr>
          <w:rFonts w:hint="default" w:ascii="Times New Roman" w:hAnsi="Times New Roman" w:eastAsia="仿宋_GB2312" w:cs="Times New Roman"/>
          <w:color w:val="auto"/>
          <w:sz w:val="32"/>
          <w:szCs w:val="32"/>
        </w:rPr>
        <w:t>具体内容包括：（1）</w:t>
      </w:r>
      <w:r>
        <w:rPr>
          <w:rFonts w:hint="default" w:ascii="Times New Roman" w:hAnsi="Times New Roman" w:eastAsia="仿宋_GB2312" w:cs="Times New Roman"/>
          <w:color w:val="auto"/>
          <w:sz w:val="32"/>
          <w:szCs w:val="32"/>
          <w:lang w:val="en-US" w:eastAsia="zh-CN"/>
        </w:rPr>
        <w:t>迎接四川省财政投资评审中心开展2020年度部门整体支出绩效评价工作组</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食堂工作餐</w:t>
      </w:r>
      <w:r>
        <w:rPr>
          <w:rFonts w:hint="default" w:ascii="Times New Roman" w:hAnsi="Times New Roman" w:eastAsia="仿宋_GB2312" w:cs="Times New Roman"/>
          <w:color w:val="auto"/>
          <w:sz w:val="32"/>
          <w:szCs w:val="32"/>
        </w:rPr>
        <w:t>费</w:t>
      </w:r>
      <w:r>
        <w:rPr>
          <w:rFonts w:hint="default" w:ascii="Times New Roman" w:hAnsi="Times New Roman" w:eastAsia="仿宋_GB2312" w:cs="Times New Roman"/>
          <w:color w:val="auto"/>
          <w:sz w:val="32"/>
          <w:szCs w:val="32"/>
          <w:lang w:val="en-US" w:eastAsia="zh-CN"/>
        </w:rPr>
        <w:t>720</w:t>
      </w:r>
      <w:r>
        <w:rPr>
          <w:rFonts w:hint="default" w:ascii="Times New Roman" w:hAnsi="Times New Roman" w:eastAsia="仿宋_GB2312" w:cs="Times New Roman"/>
          <w:color w:val="auto"/>
          <w:sz w:val="32"/>
          <w:szCs w:val="32"/>
        </w:rPr>
        <w:t>元。（2）</w:t>
      </w:r>
      <w:r>
        <w:rPr>
          <w:rFonts w:hint="default" w:ascii="Times New Roman" w:hAnsi="Times New Roman" w:eastAsia="仿宋_GB2312" w:cs="Times New Roman"/>
          <w:color w:val="auto"/>
          <w:sz w:val="32"/>
          <w:szCs w:val="32"/>
          <w:lang w:val="en-US" w:eastAsia="zh-CN"/>
        </w:rPr>
        <w:t>迎接省委巡视办实地调研</w:t>
      </w:r>
      <w:r>
        <w:rPr>
          <w:rFonts w:hint="default" w:ascii="Times New Roman" w:hAnsi="Times New Roman" w:eastAsia="仿宋_GB2312" w:cs="Times New Roman"/>
          <w:color w:val="auto"/>
          <w:sz w:val="32"/>
          <w:szCs w:val="32"/>
        </w:rPr>
        <w:t>，食堂工作餐费</w:t>
      </w:r>
      <w:r>
        <w:rPr>
          <w:rFonts w:hint="default" w:ascii="Times New Roman" w:hAnsi="Times New Roman" w:eastAsia="仿宋_GB2312" w:cs="Times New Roman"/>
          <w:color w:val="auto"/>
          <w:sz w:val="32"/>
          <w:szCs w:val="32"/>
          <w:lang w:val="en-US" w:eastAsia="zh-CN"/>
        </w:rPr>
        <w:t>1000</w:t>
      </w:r>
      <w:r>
        <w:rPr>
          <w:rFonts w:hint="default" w:ascii="Times New Roman" w:hAnsi="Times New Roman" w:eastAsia="仿宋_GB2312" w:cs="Times New Roman"/>
          <w:color w:val="auto"/>
          <w:sz w:val="32"/>
          <w:szCs w:val="32"/>
        </w:rPr>
        <w:t>元。（3）</w:t>
      </w:r>
      <w:r>
        <w:rPr>
          <w:rFonts w:hint="default" w:ascii="Times New Roman" w:hAnsi="Times New Roman" w:eastAsia="仿宋_GB2312" w:cs="Times New Roman"/>
          <w:color w:val="auto"/>
          <w:sz w:val="32"/>
          <w:szCs w:val="32"/>
          <w:lang w:val="en-US" w:eastAsia="zh-CN"/>
        </w:rPr>
        <w:t>接待资阳监委来驻委纪检监察组沟通案件情况</w:t>
      </w:r>
      <w:r>
        <w:rPr>
          <w:rFonts w:hint="default" w:ascii="Times New Roman" w:hAnsi="Times New Roman" w:eastAsia="仿宋_GB2312" w:cs="Times New Roman"/>
          <w:color w:val="auto"/>
          <w:sz w:val="32"/>
          <w:szCs w:val="32"/>
        </w:rPr>
        <w:t>，食堂工作餐费</w:t>
      </w:r>
      <w:r>
        <w:rPr>
          <w:rFonts w:hint="default" w:ascii="Times New Roman" w:hAnsi="Times New Roman" w:eastAsia="仿宋_GB2312" w:cs="Times New Roman"/>
          <w:color w:val="auto"/>
          <w:sz w:val="32"/>
          <w:szCs w:val="32"/>
          <w:lang w:val="en-US" w:eastAsia="zh-CN"/>
        </w:rPr>
        <w:t>500</w:t>
      </w:r>
      <w:r>
        <w:rPr>
          <w:rFonts w:hint="default" w:ascii="Times New Roman" w:hAnsi="Times New Roman" w:eastAsia="仿宋_GB2312" w:cs="Times New Roman"/>
          <w:color w:val="auto"/>
          <w:sz w:val="32"/>
          <w:szCs w:val="32"/>
        </w:rPr>
        <w:t>元。（4）</w:t>
      </w:r>
      <w:r>
        <w:rPr>
          <w:rFonts w:hint="default" w:ascii="Times New Roman" w:hAnsi="Times New Roman" w:eastAsia="仿宋_GB2312" w:cs="Times New Roman"/>
          <w:color w:val="auto"/>
          <w:sz w:val="32"/>
          <w:szCs w:val="32"/>
          <w:lang w:val="en-US" w:eastAsia="zh-CN"/>
        </w:rPr>
        <w:t>接待贵州纪委监委派驻第二十四纪检监察组来委开展工作咨询</w:t>
      </w:r>
      <w:r>
        <w:rPr>
          <w:rFonts w:hint="default" w:ascii="Times New Roman" w:hAnsi="Times New Roman" w:eastAsia="仿宋_GB2312" w:cs="Times New Roman"/>
          <w:color w:val="auto"/>
          <w:sz w:val="32"/>
          <w:szCs w:val="32"/>
        </w:rPr>
        <w:t>，食堂工作餐费</w:t>
      </w:r>
      <w:r>
        <w:rPr>
          <w:rFonts w:hint="default" w:ascii="Times New Roman" w:hAnsi="Times New Roman" w:eastAsia="仿宋_GB2312" w:cs="Times New Roman"/>
          <w:color w:val="auto"/>
          <w:sz w:val="32"/>
          <w:szCs w:val="32"/>
          <w:lang w:val="en-US" w:eastAsia="zh-CN"/>
        </w:rPr>
        <w:t>380</w:t>
      </w:r>
      <w:r>
        <w:rPr>
          <w:rFonts w:hint="default" w:ascii="Times New Roman" w:hAnsi="Times New Roman" w:eastAsia="仿宋_GB2312" w:cs="Times New Roman"/>
          <w:color w:val="auto"/>
          <w:sz w:val="32"/>
          <w:szCs w:val="32"/>
        </w:rPr>
        <w:t>元。（5）</w:t>
      </w:r>
      <w:r>
        <w:rPr>
          <w:rFonts w:hint="default" w:ascii="Times New Roman" w:hAnsi="Times New Roman" w:eastAsia="仿宋_GB2312" w:cs="Times New Roman"/>
          <w:color w:val="auto"/>
          <w:sz w:val="32"/>
          <w:szCs w:val="32"/>
          <w:lang w:val="en-US" w:eastAsia="zh-CN"/>
        </w:rPr>
        <w:t>迎接山东省国资委到我委开展调研</w:t>
      </w:r>
      <w:r>
        <w:rPr>
          <w:rFonts w:hint="default" w:ascii="Times New Roman" w:hAnsi="Times New Roman" w:eastAsia="仿宋_GB2312" w:cs="Times New Roman"/>
          <w:color w:val="auto"/>
          <w:sz w:val="32"/>
          <w:szCs w:val="32"/>
        </w:rPr>
        <w:t>，食堂工作餐费</w:t>
      </w:r>
      <w:r>
        <w:rPr>
          <w:rFonts w:hint="default" w:ascii="Times New Roman" w:hAnsi="Times New Roman" w:eastAsia="仿宋_GB2312" w:cs="Times New Roman"/>
          <w:color w:val="auto"/>
          <w:sz w:val="32"/>
          <w:szCs w:val="32"/>
          <w:lang w:val="en-US" w:eastAsia="zh-CN"/>
        </w:rPr>
        <w:t>775</w:t>
      </w:r>
      <w:r>
        <w:rPr>
          <w:rFonts w:hint="default" w:ascii="Times New Roman" w:hAnsi="Times New Roman" w:eastAsia="仿宋_GB2312" w:cs="Times New Roman"/>
          <w:color w:val="auto"/>
          <w:sz w:val="32"/>
          <w:szCs w:val="32"/>
        </w:rPr>
        <w:t>元。（6）</w:t>
      </w:r>
      <w:r>
        <w:rPr>
          <w:rFonts w:hint="default" w:ascii="Times New Roman" w:hAnsi="Times New Roman" w:eastAsia="仿宋_GB2312" w:cs="Times New Roman"/>
          <w:color w:val="auto"/>
          <w:sz w:val="32"/>
          <w:szCs w:val="32"/>
          <w:lang w:val="en-US" w:eastAsia="zh-CN"/>
        </w:rPr>
        <w:t>迎接深交所领导来委调研</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接待</w:t>
      </w:r>
      <w:r>
        <w:rPr>
          <w:rFonts w:hint="default" w:ascii="Times New Roman" w:hAnsi="Times New Roman" w:eastAsia="仿宋_GB2312" w:cs="Times New Roman"/>
          <w:color w:val="auto"/>
          <w:sz w:val="32"/>
          <w:szCs w:val="32"/>
        </w:rPr>
        <w:t>工作餐费</w:t>
      </w:r>
      <w:r>
        <w:rPr>
          <w:rFonts w:hint="default" w:ascii="Times New Roman" w:hAnsi="Times New Roman" w:eastAsia="仿宋_GB2312" w:cs="Times New Roman"/>
          <w:color w:val="auto"/>
          <w:sz w:val="32"/>
          <w:szCs w:val="32"/>
          <w:lang w:val="en-US" w:eastAsia="zh-CN"/>
        </w:rPr>
        <w:t>1350</w:t>
      </w:r>
      <w:r>
        <w:rPr>
          <w:rFonts w:hint="default" w:ascii="Times New Roman" w:hAnsi="Times New Roman" w:eastAsia="仿宋_GB2312" w:cs="Times New Roman"/>
          <w:color w:val="auto"/>
          <w:sz w:val="32"/>
          <w:szCs w:val="32"/>
        </w:rPr>
        <w:t>元。（7）迎接</w:t>
      </w:r>
      <w:r>
        <w:rPr>
          <w:rFonts w:hint="default" w:ascii="Times New Roman" w:hAnsi="Times New Roman" w:eastAsia="仿宋_GB2312" w:cs="Times New Roman"/>
          <w:color w:val="auto"/>
          <w:sz w:val="32"/>
          <w:szCs w:val="32"/>
          <w:lang w:val="en-US" w:eastAsia="zh-CN"/>
        </w:rPr>
        <w:t>国务院放管服改革协调小组</w:t>
      </w:r>
      <w:r>
        <w:rPr>
          <w:rFonts w:hint="default" w:ascii="Times New Roman" w:hAnsi="Times New Roman" w:eastAsia="仿宋_GB2312" w:cs="Times New Roman"/>
          <w:color w:val="auto"/>
          <w:sz w:val="32"/>
          <w:szCs w:val="32"/>
        </w:rPr>
        <w:t>来我委调研，</w:t>
      </w:r>
      <w:r>
        <w:rPr>
          <w:rFonts w:hint="default" w:ascii="Times New Roman" w:hAnsi="Times New Roman" w:eastAsia="仿宋_GB2312" w:cs="Times New Roman"/>
          <w:color w:val="auto"/>
          <w:sz w:val="32"/>
          <w:szCs w:val="32"/>
          <w:lang w:val="en-US" w:eastAsia="zh-CN"/>
        </w:rPr>
        <w:t>接待</w:t>
      </w:r>
      <w:r>
        <w:rPr>
          <w:rFonts w:hint="default" w:ascii="Times New Roman" w:hAnsi="Times New Roman" w:eastAsia="仿宋_GB2312" w:cs="Times New Roman"/>
          <w:color w:val="auto"/>
          <w:sz w:val="32"/>
          <w:szCs w:val="32"/>
        </w:rPr>
        <w:t>工作餐费</w:t>
      </w:r>
      <w:r>
        <w:rPr>
          <w:rFonts w:hint="default" w:ascii="Times New Roman" w:hAnsi="Times New Roman" w:eastAsia="仿宋_GB2312" w:cs="Times New Roman"/>
          <w:color w:val="auto"/>
          <w:sz w:val="32"/>
          <w:szCs w:val="32"/>
          <w:lang w:val="en-US" w:eastAsia="zh-CN"/>
        </w:rPr>
        <w:t>1350</w:t>
      </w:r>
      <w:r>
        <w:rPr>
          <w:rFonts w:hint="default" w:ascii="Times New Roman" w:hAnsi="Times New Roman" w:eastAsia="仿宋_GB2312" w:cs="Times New Roman"/>
          <w:color w:val="auto"/>
          <w:sz w:val="32"/>
          <w:szCs w:val="32"/>
        </w:rPr>
        <w:t>元。（8）迎接</w:t>
      </w:r>
      <w:r>
        <w:rPr>
          <w:rFonts w:hint="default" w:ascii="Times New Roman" w:hAnsi="Times New Roman" w:eastAsia="仿宋_GB2312" w:cs="Times New Roman"/>
          <w:color w:val="auto"/>
          <w:sz w:val="32"/>
          <w:szCs w:val="32"/>
          <w:lang w:val="en-US" w:eastAsia="zh-CN"/>
        </w:rPr>
        <w:t>国务院国资委研究中心来我委调研</w:t>
      </w:r>
      <w:r>
        <w:rPr>
          <w:rFonts w:hint="default" w:ascii="Times New Roman" w:hAnsi="Times New Roman" w:eastAsia="仿宋_GB2312" w:cs="Times New Roman"/>
          <w:color w:val="auto"/>
          <w:sz w:val="32"/>
          <w:szCs w:val="32"/>
        </w:rPr>
        <w:t>，食堂工作餐费</w:t>
      </w:r>
      <w:r>
        <w:rPr>
          <w:rFonts w:hint="default" w:ascii="Times New Roman" w:hAnsi="Times New Roman" w:eastAsia="仿宋_GB2312" w:cs="Times New Roman"/>
          <w:color w:val="auto"/>
          <w:sz w:val="32"/>
          <w:szCs w:val="32"/>
          <w:lang w:val="en-US" w:eastAsia="zh-CN"/>
        </w:rPr>
        <w:t>850</w:t>
      </w:r>
      <w:r>
        <w:rPr>
          <w:rFonts w:hint="default" w:ascii="Times New Roman" w:hAnsi="Times New Roman" w:eastAsia="仿宋_GB2312" w:cs="Times New Roman"/>
          <w:color w:val="auto"/>
          <w:sz w:val="32"/>
          <w:szCs w:val="32"/>
        </w:rPr>
        <w:t>元。（9）</w:t>
      </w:r>
      <w:r>
        <w:rPr>
          <w:rFonts w:hint="default" w:ascii="Times New Roman" w:hAnsi="Times New Roman" w:eastAsia="仿宋_GB2312" w:cs="Times New Roman"/>
          <w:color w:val="auto"/>
          <w:sz w:val="32"/>
          <w:szCs w:val="32"/>
          <w:lang w:val="en-US" w:eastAsia="zh-CN"/>
        </w:rPr>
        <w:t>开展“十三五”规划实施评估暨“十四五”发展规划研讨会</w:t>
      </w:r>
      <w:r>
        <w:rPr>
          <w:rFonts w:hint="default" w:ascii="Times New Roman" w:hAnsi="Times New Roman" w:eastAsia="仿宋_GB2312" w:cs="Times New Roman"/>
          <w:color w:val="auto"/>
          <w:sz w:val="32"/>
          <w:szCs w:val="32"/>
        </w:rPr>
        <w:t>，食堂工作餐费</w:t>
      </w:r>
      <w:r>
        <w:rPr>
          <w:rFonts w:hint="default" w:ascii="Times New Roman" w:hAnsi="Times New Roman" w:eastAsia="仿宋_GB2312" w:cs="Times New Roman"/>
          <w:color w:val="auto"/>
          <w:sz w:val="32"/>
          <w:szCs w:val="32"/>
          <w:lang w:val="en-US" w:eastAsia="zh-CN"/>
        </w:rPr>
        <w:t>850</w:t>
      </w:r>
      <w:r>
        <w:rPr>
          <w:rFonts w:hint="default" w:ascii="Times New Roman" w:hAnsi="Times New Roman" w:eastAsia="仿宋_GB2312" w:cs="Times New Roman"/>
          <w:color w:val="auto"/>
          <w:sz w:val="32"/>
          <w:szCs w:val="32"/>
        </w:rPr>
        <w:t>元。（10）</w:t>
      </w:r>
      <w:r>
        <w:rPr>
          <w:rFonts w:hint="default" w:ascii="Times New Roman" w:hAnsi="Times New Roman" w:eastAsia="仿宋_GB2312" w:cs="Times New Roman"/>
          <w:color w:val="auto"/>
          <w:sz w:val="32"/>
          <w:szCs w:val="32"/>
          <w:lang w:val="en-US" w:eastAsia="zh-CN"/>
        </w:rPr>
        <w:t>接待长江养老保险股份有限公司来委交流工作</w:t>
      </w:r>
      <w:r>
        <w:rPr>
          <w:rFonts w:hint="default" w:ascii="Times New Roman" w:hAnsi="Times New Roman" w:eastAsia="仿宋_GB2312" w:cs="Times New Roman"/>
          <w:color w:val="auto"/>
          <w:sz w:val="32"/>
          <w:szCs w:val="32"/>
        </w:rPr>
        <w:t>，食堂工作餐费8</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0元。（11）迎接</w:t>
      </w:r>
      <w:r>
        <w:rPr>
          <w:rFonts w:hint="default" w:ascii="Times New Roman" w:hAnsi="Times New Roman" w:eastAsia="仿宋_GB2312" w:cs="Times New Roman"/>
          <w:color w:val="auto"/>
          <w:sz w:val="32"/>
          <w:szCs w:val="32"/>
          <w:lang w:val="en-US" w:eastAsia="zh-CN"/>
        </w:rPr>
        <w:t>浙江</w:t>
      </w:r>
      <w:r>
        <w:rPr>
          <w:rFonts w:hint="default" w:ascii="Times New Roman" w:hAnsi="Times New Roman" w:eastAsia="仿宋_GB2312" w:cs="Times New Roman"/>
          <w:color w:val="auto"/>
          <w:sz w:val="32"/>
          <w:szCs w:val="32"/>
        </w:rPr>
        <w:t>省国资委赴我委考察</w:t>
      </w:r>
      <w:r>
        <w:rPr>
          <w:rFonts w:hint="default" w:ascii="Times New Roman" w:hAnsi="Times New Roman" w:eastAsia="仿宋_GB2312" w:cs="Times New Roman"/>
          <w:color w:val="auto"/>
          <w:sz w:val="32"/>
          <w:szCs w:val="32"/>
          <w:lang w:val="en-US" w:eastAsia="zh-CN"/>
        </w:rPr>
        <w:t>调研</w:t>
      </w:r>
      <w:r>
        <w:rPr>
          <w:rFonts w:hint="default" w:ascii="Times New Roman" w:hAnsi="Times New Roman" w:eastAsia="仿宋_GB2312" w:cs="Times New Roman"/>
          <w:color w:val="auto"/>
          <w:sz w:val="32"/>
          <w:szCs w:val="32"/>
        </w:rPr>
        <w:t>，食堂工作餐费</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50元。（1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）迎接</w:t>
      </w:r>
      <w:r>
        <w:rPr>
          <w:rFonts w:hint="default" w:ascii="Times New Roman" w:hAnsi="Times New Roman" w:eastAsia="仿宋_GB2312" w:cs="Times New Roman"/>
          <w:color w:val="auto"/>
          <w:sz w:val="32"/>
          <w:szCs w:val="32"/>
          <w:lang w:val="en-US" w:eastAsia="zh-CN"/>
        </w:rPr>
        <w:t>山东</w:t>
      </w:r>
      <w:r>
        <w:rPr>
          <w:rFonts w:hint="default" w:ascii="Times New Roman" w:hAnsi="Times New Roman" w:eastAsia="仿宋_GB2312" w:cs="Times New Roman"/>
          <w:color w:val="auto"/>
          <w:sz w:val="32"/>
          <w:szCs w:val="32"/>
        </w:rPr>
        <w:t>省国资委赴我委考察</w:t>
      </w:r>
      <w:r>
        <w:rPr>
          <w:rFonts w:hint="default" w:ascii="Times New Roman" w:hAnsi="Times New Roman" w:eastAsia="仿宋_GB2312" w:cs="Times New Roman"/>
          <w:color w:val="auto"/>
          <w:sz w:val="32"/>
          <w:szCs w:val="32"/>
          <w:lang w:val="en-US" w:eastAsia="zh-CN"/>
        </w:rPr>
        <w:t>调研</w:t>
      </w:r>
      <w:r>
        <w:rPr>
          <w:rFonts w:hint="default" w:ascii="Times New Roman" w:hAnsi="Times New Roman" w:eastAsia="仿宋_GB2312" w:cs="Times New Roman"/>
          <w:color w:val="auto"/>
          <w:sz w:val="32"/>
          <w:szCs w:val="32"/>
        </w:rPr>
        <w:t>，食堂工作餐费</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50元。（1</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）迎接</w:t>
      </w:r>
      <w:r>
        <w:rPr>
          <w:rFonts w:hint="default" w:ascii="Times New Roman" w:hAnsi="Times New Roman" w:eastAsia="仿宋_GB2312" w:cs="Times New Roman"/>
          <w:color w:val="auto"/>
          <w:sz w:val="32"/>
          <w:szCs w:val="32"/>
          <w:lang w:val="en-US" w:eastAsia="zh-CN"/>
        </w:rPr>
        <w:t>国务院国有企业改革领导小组一行来委检查指导</w:t>
      </w:r>
      <w:r>
        <w:rPr>
          <w:rFonts w:hint="default" w:ascii="Times New Roman" w:hAnsi="Times New Roman" w:eastAsia="仿宋_GB2312" w:cs="Times New Roman"/>
          <w:color w:val="auto"/>
          <w:sz w:val="32"/>
          <w:szCs w:val="32"/>
        </w:rPr>
        <w:t>，工作餐费</w:t>
      </w:r>
      <w:r>
        <w:rPr>
          <w:rFonts w:hint="default" w:ascii="Times New Roman" w:hAnsi="Times New Roman" w:eastAsia="仿宋_GB2312" w:cs="Times New Roman"/>
          <w:color w:val="auto"/>
          <w:sz w:val="32"/>
          <w:szCs w:val="32"/>
          <w:lang w:val="en-US" w:eastAsia="zh-CN"/>
        </w:rPr>
        <w:t>2940</w:t>
      </w:r>
      <w:r>
        <w:rPr>
          <w:rFonts w:hint="default" w:ascii="Times New Roman" w:hAnsi="Times New Roman" w:eastAsia="仿宋_GB2312" w:cs="Times New Roman"/>
          <w:color w:val="auto"/>
          <w:sz w:val="32"/>
          <w:szCs w:val="32"/>
        </w:rPr>
        <w:t>元。（1</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）迎接</w:t>
      </w:r>
      <w:r>
        <w:rPr>
          <w:rFonts w:hint="default" w:ascii="Times New Roman" w:hAnsi="Times New Roman" w:eastAsia="仿宋_GB2312" w:cs="Times New Roman"/>
          <w:color w:val="auto"/>
          <w:sz w:val="32"/>
          <w:szCs w:val="32"/>
          <w:lang w:val="en-US" w:eastAsia="zh-CN"/>
        </w:rPr>
        <w:t>国务院国资委一行参加四川省与央企合作发展座谈会</w:t>
      </w:r>
      <w:r>
        <w:rPr>
          <w:rFonts w:hint="default" w:ascii="Times New Roman" w:hAnsi="Times New Roman" w:eastAsia="仿宋_GB2312" w:cs="Times New Roman"/>
          <w:color w:val="auto"/>
          <w:sz w:val="32"/>
          <w:szCs w:val="32"/>
        </w:rPr>
        <w:t>，工作餐费</w:t>
      </w:r>
      <w:r>
        <w:rPr>
          <w:rFonts w:hint="default" w:ascii="Times New Roman" w:hAnsi="Times New Roman" w:eastAsia="仿宋_GB2312" w:cs="Times New Roman"/>
          <w:color w:val="auto"/>
          <w:sz w:val="32"/>
          <w:szCs w:val="32"/>
          <w:lang w:val="en-US" w:eastAsia="zh-CN"/>
        </w:rPr>
        <w:t>5120</w:t>
      </w:r>
      <w:r>
        <w:rPr>
          <w:rFonts w:hint="default" w:ascii="Times New Roman" w:hAnsi="Times New Roman" w:eastAsia="仿宋_GB2312" w:cs="Times New Roman"/>
          <w:color w:val="auto"/>
          <w:sz w:val="32"/>
          <w:szCs w:val="32"/>
        </w:rPr>
        <w:t>元。（1</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）迎接</w:t>
      </w:r>
      <w:r>
        <w:rPr>
          <w:rFonts w:hint="default" w:ascii="Times New Roman" w:hAnsi="Times New Roman" w:eastAsia="仿宋_GB2312" w:cs="Times New Roman"/>
          <w:color w:val="auto"/>
          <w:sz w:val="32"/>
          <w:szCs w:val="32"/>
          <w:lang w:val="en-US" w:eastAsia="zh-CN"/>
        </w:rPr>
        <w:t>国务院国资委一行来委检查指导工作</w:t>
      </w:r>
      <w:r>
        <w:rPr>
          <w:rFonts w:hint="default" w:ascii="Times New Roman" w:hAnsi="Times New Roman" w:eastAsia="仿宋_GB2312" w:cs="Times New Roman"/>
          <w:color w:val="auto"/>
          <w:sz w:val="32"/>
          <w:szCs w:val="32"/>
        </w:rPr>
        <w:t>，工作餐费</w:t>
      </w:r>
      <w:r>
        <w:rPr>
          <w:rFonts w:hint="default" w:ascii="Times New Roman" w:hAnsi="Times New Roman" w:eastAsia="仿宋_GB2312" w:cs="Times New Roman"/>
          <w:color w:val="auto"/>
          <w:sz w:val="32"/>
          <w:szCs w:val="32"/>
          <w:lang w:val="en-US" w:eastAsia="zh-CN"/>
        </w:rPr>
        <w:t>5740</w:t>
      </w:r>
      <w:r>
        <w:rPr>
          <w:rFonts w:hint="default" w:ascii="Times New Roman" w:hAnsi="Times New Roman" w:eastAsia="仿宋_GB2312" w:cs="Times New Roman"/>
          <w:color w:val="auto"/>
          <w:sz w:val="32"/>
          <w:szCs w:val="32"/>
        </w:rPr>
        <w:t>元。</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外事接待支出0万元，外事接待0批次，0人，共计支出0万元。</w:t>
      </w:r>
    </w:p>
    <w:p>
      <w:pPr>
        <w:spacing w:line="550" w:lineRule="exact"/>
        <w:ind w:firstLine="640"/>
        <w:outlineLvl w:val="1"/>
        <w:rPr>
          <w:rStyle w:val="30"/>
          <w:rFonts w:hint="default" w:ascii="Times New Roman" w:hAnsi="Times New Roman" w:eastAsia="黑体" w:cs="Times New Roman"/>
        </w:rPr>
      </w:pPr>
      <w:bookmarkStart w:id="54" w:name="_Toc15396610"/>
      <w:bookmarkStart w:id="55" w:name="_Toc15377218"/>
      <w:r>
        <w:rPr>
          <w:rFonts w:hint="default" w:ascii="Times New Roman" w:hAnsi="Times New Roman" w:eastAsia="黑体" w:cs="Times New Roman"/>
          <w:color w:val="000000"/>
          <w:sz w:val="32"/>
          <w:szCs w:val="32"/>
        </w:rPr>
        <w:t>八、</w:t>
      </w:r>
      <w:r>
        <w:rPr>
          <w:rStyle w:val="30"/>
          <w:rFonts w:hint="default" w:ascii="Times New Roman" w:hAnsi="Times New Roman" w:eastAsia="黑体" w:cs="Times New Roman"/>
          <w:b w:val="0"/>
        </w:rPr>
        <w:t>政府性基金预算支出决算情况说明</w:t>
      </w:r>
      <w:bookmarkEnd w:id="54"/>
      <w:bookmarkEnd w:id="55"/>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2020年政府性基金预算拨款支出0万元。</w:t>
      </w:r>
    </w:p>
    <w:p>
      <w:pPr>
        <w:numPr>
          <w:ilvl w:val="0"/>
          <w:numId w:val="1"/>
        </w:numPr>
        <w:spacing w:line="550" w:lineRule="exact"/>
        <w:ind w:firstLine="640"/>
        <w:outlineLvl w:val="1"/>
        <w:rPr>
          <w:rStyle w:val="30"/>
          <w:rFonts w:hint="default" w:ascii="Times New Roman" w:hAnsi="Times New Roman" w:eastAsia="黑体" w:cs="Times New Roman"/>
          <w:b w:val="0"/>
        </w:rPr>
      </w:pPr>
      <w:bookmarkStart w:id="56" w:name="_Toc15377219"/>
      <w:bookmarkStart w:id="57" w:name="_Toc15396611"/>
      <w:r>
        <w:rPr>
          <w:rStyle w:val="30"/>
          <w:rFonts w:hint="default" w:ascii="Times New Roman" w:hAnsi="Times New Roman" w:eastAsia="黑体" w:cs="Times New Roman"/>
          <w:b w:val="0"/>
        </w:rPr>
        <w:t>国有资本经营预算支出决算情况说明</w:t>
      </w:r>
      <w:bookmarkEnd w:id="56"/>
      <w:bookmarkEnd w:id="57"/>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2020年国有资本经营预算拨款支出0万元。</w:t>
      </w:r>
    </w:p>
    <w:p>
      <w:pPr>
        <w:spacing w:line="550" w:lineRule="exact"/>
        <w:ind w:firstLine="640" w:firstLineChars="200"/>
        <w:outlineLvl w:val="1"/>
        <w:rPr>
          <w:rStyle w:val="30"/>
          <w:rFonts w:hint="default" w:ascii="Times New Roman" w:hAnsi="Times New Roman" w:eastAsia="黑体" w:cs="Times New Roman"/>
        </w:rPr>
      </w:pPr>
      <w:bookmarkStart w:id="58" w:name="_Toc15377221"/>
      <w:bookmarkStart w:id="59" w:name="_Toc15396612"/>
      <w:r>
        <w:rPr>
          <w:rFonts w:hint="default" w:ascii="Times New Roman" w:hAnsi="Times New Roman" w:eastAsia="黑体" w:cs="Times New Roman"/>
          <w:color w:val="000000"/>
          <w:sz w:val="32"/>
          <w:szCs w:val="32"/>
        </w:rPr>
        <w:t>十</w:t>
      </w:r>
      <w:r>
        <w:rPr>
          <w:rStyle w:val="30"/>
          <w:rFonts w:hint="default" w:ascii="Times New Roman" w:hAnsi="Times New Roman" w:eastAsia="黑体" w:cs="Times New Roman"/>
        </w:rPr>
        <w:t>、</w:t>
      </w:r>
      <w:r>
        <w:rPr>
          <w:rStyle w:val="30"/>
          <w:rFonts w:hint="default" w:ascii="Times New Roman" w:hAnsi="Times New Roman" w:eastAsia="黑体" w:cs="Times New Roman"/>
          <w:b w:val="0"/>
        </w:rPr>
        <w:t>其他重要事项的情况说明</w:t>
      </w:r>
      <w:bookmarkEnd w:id="58"/>
      <w:bookmarkEnd w:id="59"/>
    </w:p>
    <w:p>
      <w:pPr>
        <w:spacing w:line="550" w:lineRule="exact"/>
        <w:ind w:firstLine="642" w:firstLineChars="200"/>
        <w:outlineLvl w:val="2"/>
        <w:rPr>
          <w:rFonts w:hint="default" w:ascii="Times New Roman" w:hAnsi="Times New Roman" w:eastAsia="楷体_GB2312" w:cs="Times New Roman"/>
          <w:b/>
          <w:color w:val="000000"/>
          <w:sz w:val="32"/>
          <w:szCs w:val="32"/>
        </w:rPr>
      </w:pPr>
      <w:bookmarkStart w:id="60" w:name="_Toc15377222"/>
      <w:r>
        <w:rPr>
          <w:rFonts w:hint="default" w:ascii="Times New Roman" w:hAnsi="Times New Roman" w:eastAsia="楷体_GB2312" w:cs="Times New Roman"/>
          <w:b/>
          <w:color w:val="000000"/>
          <w:sz w:val="32"/>
          <w:szCs w:val="32"/>
        </w:rPr>
        <w:t>（一）机关运行经费支出情况</w:t>
      </w:r>
      <w:bookmarkEnd w:id="60"/>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省国资委机关运行经费支出940.02万元，比2019年减少31.5万元，下降3.24%。主要原因是贯彻落实省委省政府要求，压减一般性支出，减少政府开支，建设节约型机关。坚持过紧日子，预算倾向保障重点工作开展和日常运转需要，强化预算执行管控，机关运行经费较2019年有所下降。</w:t>
      </w:r>
    </w:p>
    <w:p>
      <w:pPr>
        <w:spacing w:line="550" w:lineRule="exact"/>
        <w:ind w:firstLine="642" w:firstLineChars="200"/>
        <w:outlineLvl w:val="2"/>
        <w:rPr>
          <w:rFonts w:hint="default" w:ascii="Times New Roman" w:hAnsi="Times New Roman" w:eastAsia="楷体_GB2312" w:cs="Times New Roman"/>
          <w:b/>
          <w:color w:val="000000"/>
          <w:sz w:val="32"/>
          <w:szCs w:val="32"/>
        </w:rPr>
      </w:pPr>
      <w:bookmarkStart w:id="61" w:name="_Toc15377223"/>
      <w:r>
        <w:rPr>
          <w:rFonts w:hint="default" w:ascii="Times New Roman" w:hAnsi="Times New Roman" w:eastAsia="楷体_GB2312" w:cs="Times New Roman"/>
          <w:b/>
          <w:color w:val="000000"/>
          <w:sz w:val="32"/>
          <w:szCs w:val="32"/>
        </w:rPr>
        <w:t>（二）政府采购支出情况</w:t>
      </w:r>
      <w:bookmarkEnd w:id="61"/>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省国资委政府采购支出总额2094.45万元，其中：政府采购货物支出9.8万元、政府采购工程支出0万元、政府采购服务支出2084.65万元。主要用于省属企业年度财务审计、信息化建设及运行维护、办公耗材、办公用房租赁、物业管理、公务用车运行及维护等项目的服务或货物的采购。授予中小企业合同金额191.3万元，占政府采购支出总额的9.13%，其中：授予小微企业合同金额0万元，占政府采购支出总额的0%。</w:t>
      </w:r>
    </w:p>
    <w:p>
      <w:pPr>
        <w:spacing w:line="550" w:lineRule="exact"/>
        <w:ind w:firstLine="642" w:firstLineChars="200"/>
        <w:outlineLvl w:val="2"/>
        <w:rPr>
          <w:rFonts w:hint="default" w:ascii="Times New Roman" w:hAnsi="Times New Roman" w:eastAsia="楷体_GB2312" w:cs="Times New Roman"/>
          <w:b/>
          <w:color w:val="000000"/>
          <w:sz w:val="32"/>
          <w:szCs w:val="32"/>
        </w:rPr>
      </w:pPr>
      <w:bookmarkStart w:id="62" w:name="_Toc15377224"/>
      <w:r>
        <w:rPr>
          <w:rFonts w:hint="default" w:ascii="Times New Roman" w:hAnsi="Times New Roman" w:eastAsia="楷体_GB2312" w:cs="Times New Roman"/>
          <w:b/>
          <w:color w:val="000000"/>
          <w:sz w:val="32"/>
          <w:szCs w:val="32"/>
        </w:rPr>
        <w:t>（三）国有资产占有使用情况</w:t>
      </w:r>
      <w:bookmarkEnd w:id="62"/>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截至2020年12月31日，省国资委共有车辆9辆，其中：主要领导干部用车1辆、机要通信用车1辆、应急保障用车3辆、离退休干部用车1辆、其他用车3辆，其他用车主要是用于保障单位公文交换、省内企业调研等工作开展。单价50万元以上通用设备2台（套），单价100万元以上专用设备0台（套）。</w:t>
      </w:r>
    </w:p>
    <w:p>
      <w:pPr>
        <w:spacing w:line="550" w:lineRule="exact"/>
        <w:ind w:firstLine="642" w:firstLineChars="200"/>
        <w:outlineLvl w:val="2"/>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（四）预算绩效管理情况。</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根据预算绩效管理要求，本部门在</w:t>
      </w:r>
      <w:r>
        <w:rPr>
          <w:rFonts w:hint="default" w:ascii="Times New Roman" w:hAnsi="Times New Roman" w:eastAsia="仿宋_GB2312" w:cs="Times New Roman"/>
          <w:color w:val="auto"/>
          <w:sz w:val="32"/>
          <w:szCs w:val="32"/>
          <w:highlight w:val="none"/>
          <w:lang w:val="en-US" w:eastAsia="zh-CN"/>
        </w:rPr>
        <w:t>2020年度</w:t>
      </w:r>
      <w:r>
        <w:rPr>
          <w:rFonts w:hint="default" w:ascii="Times New Roman" w:hAnsi="Times New Roman" w:eastAsia="仿宋_GB2312" w:cs="Times New Roman"/>
          <w:color w:val="auto"/>
          <w:sz w:val="32"/>
          <w:szCs w:val="32"/>
          <w:highlight w:val="none"/>
        </w:rPr>
        <w:t>预算编制阶段，</w:t>
      </w:r>
      <w:r>
        <w:rPr>
          <w:rFonts w:hint="default" w:ascii="Times New Roman" w:hAnsi="Times New Roman" w:eastAsia="仿宋_GB2312" w:cs="Times New Roman"/>
          <w:color w:val="auto"/>
          <w:sz w:val="32"/>
          <w:szCs w:val="32"/>
          <w:highlight w:val="none"/>
          <w:lang w:val="en-US" w:eastAsia="zh-CN"/>
        </w:rPr>
        <w:t>未开展项目</w:t>
      </w:r>
      <w:r>
        <w:rPr>
          <w:rFonts w:hint="default" w:ascii="Times New Roman" w:hAnsi="Times New Roman" w:eastAsia="仿宋_GB2312" w:cs="Times New Roman"/>
          <w:color w:val="auto"/>
          <w:sz w:val="32"/>
          <w:szCs w:val="32"/>
          <w:highlight w:val="none"/>
        </w:rPr>
        <w:t>预算事前绩效评估，对</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个项目编制了绩效目标，预算执行过程中，选取</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个项目开展绩效监控，年终执行完毕后，对</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个项目开展了绩效目标完成情况自评。</w:t>
      </w:r>
    </w:p>
    <w:p>
      <w:pPr>
        <w:keepNext w:val="0"/>
        <w:keepLines w:val="0"/>
        <w:pageBreakBefore w:val="0"/>
        <w:kinsoku/>
        <w:wordWrap/>
        <w:overflowPunct/>
        <w:topLinePunct w:val="0"/>
        <w:autoSpaceDE/>
        <w:autoSpaceDN/>
        <w:bidi w:val="0"/>
        <w:spacing w:line="572" w:lineRule="exact"/>
        <w:ind w:firstLine="64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本部门按要求对20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年部门整体支出开展绩效自评，从评价情况来看部门整体支出预算项目均在完成指标、效益指标和满意度指标等方面</w:t>
      </w:r>
      <w:r>
        <w:rPr>
          <w:rFonts w:hint="default" w:ascii="Times New Roman" w:hAnsi="Times New Roman" w:eastAsia="仿宋_GB2312" w:cs="Times New Roman"/>
          <w:color w:val="auto"/>
          <w:sz w:val="32"/>
          <w:szCs w:val="32"/>
          <w:highlight w:val="none"/>
          <w:lang w:val="en-US" w:eastAsia="zh-CN"/>
        </w:rPr>
        <w:t>完成了具体的指标内容和量化目标。本部门还自行组织了省级国有企业改革发展专项资金1个专项项目和省属企业年度财务审计、信息化建设及运行维护2个部门预算项目支出绩效评价，从评价情况来看：1.省级国有企业改革发展专项资金</w:t>
      </w:r>
      <w:r>
        <w:rPr>
          <w:rFonts w:hint="default" w:ascii="Times New Roman" w:hAnsi="Times New Roman" w:eastAsia="仿宋_GB2312" w:cs="Times New Roman"/>
          <w:color w:val="auto"/>
          <w:sz w:val="32"/>
          <w:szCs w:val="32"/>
          <w:highlight w:val="none"/>
          <w:lang w:val="zh-CN" w:eastAsia="zh-CN"/>
        </w:rPr>
        <w:t>兑现省政府规定的离休干部医药费、退休教师待遇补差等政策，完成省政府确定的锦弘集团蜀兰大酒店人员补助等特定事项，按省政府要求对省属国有企业进行资本金补充。</w:t>
      </w:r>
      <w:r>
        <w:rPr>
          <w:rFonts w:hint="default" w:ascii="Times New Roman" w:hAnsi="Times New Roman" w:eastAsia="仿宋_GB2312" w:cs="Times New Roman"/>
          <w:color w:val="auto"/>
          <w:sz w:val="32"/>
          <w:szCs w:val="32"/>
          <w:highlight w:val="none"/>
          <w:lang w:val="en-US" w:eastAsia="zh-CN"/>
        </w:rPr>
        <w:t>2020</w:t>
      </w:r>
      <w:r>
        <w:rPr>
          <w:rFonts w:hint="default" w:ascii="Times New Roman" w:hAnsi="Times New Roman" w:eastAsia="仿宋_GB2312" w:cs="Times New Roman"/>
          <w:color w:val="auto"/>
          <w:sz w:val="32"/>
          <w:szCs w:val="32"/>
          <w:highlight w:val="none"/>
          <w:lang w:val="zh-CN" w:eastAsia="zh-CN"/>
        </w:rPr>
        <w:t>年</w:t>
      </w:r>
      <w:r>
        <w:rPr>
          <w:rFonts w:hint="default" w:ascii="Times New Roman" w:hAnsi="Times New Roman" w:eastAsia="仿宋_GB2312" w:cs="Times New Roman"/>
          <w:color w:val="auto"/>
          <w:sz w:val="32"/>
          <w:szCs w:val="32"/>
          <w:highlight w:val="none"/>
          <w:lang w:val="en-US" w:eastAsia="zh-CN"/>
        </w:rPr>
        <w:t>专项</w:t>
      </w:r>
      <w:r>
        <w:rPr>
          <w:rFonts w:hint="default" w:ascii="Times New Roman" w:hAnsi="Times New Roman" w:eastAsia="仿宋_GB2312" w:cs="Times New Roman"/>
          <w:color w:val="auto"/>
          <w:sz w:val="32"/>
          <w:szCs w:val="32"/>
          <w:highlight w:val="none"/>
          <w:lang w:val="zh-CN" w:eastAsia="zh-CN"/>
        </w:rPr>
        <w:t>资金给予资金支持的项目，项目内容符合资金管理办法规定的申请条件和使用范围，项目目标合理可行，申报材料齐全，申报审核程序符合规定。</w:t>
      </w:r>
      <w:r>
        <w:rPr>
          <w:rFonts w:hint="default" w:ascii="Times New Roman" w:hAnsi="Times New Roman" w:eastAsia="仿宋_GB2312" w:cs="Times New Roman"/>
          <w:color w:val="auto"/>
          <w:sz w:val="32"/>
          <w:szCs w:val="32"/>
          <w:highlight w:val="none"/>
          <w:lang w:val="en-US" w:eastAsia="zh-CN"/>
        </w:rPr>
        <w:t>2.省属企业年度财务审计项目完成了2019年度省属企业年度企业财务决算审计、经营业绩考核清算及工资专项审计和国有资本收益审核，项目决策、管理、产出和效益的全过程均科学合理，预期目标顺利完成。3.信息化建设及运行维护项目，保障了信息综合平台正常稳定运行，业务功能满足处室使用需要，保障办公终端安全稳定运行，及时有效处理网络安全威胁。项目决策、管理、绩效全过程均科学合理，预期目标顺利完成。</w:t>
      </w:r>
    </w:p>
    <w:p>
      <w:pPr>
        <w:numPr>
          <w:ilvl w:val="0"/>
          <w:numId w:val="2"/>
        </w:numPr>
        <w:spacing w:line="550" w:lineRule="exact"/>
        <w:ind w:left="638" w:leftChars="304"/>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项目绩效目标完成情况。</w:t>
      </w:r>
    </w:p>
    <w:p>
      <w:pPr>
        <w:spacing w:line="55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本部门在20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年度部门决算中反映“信息化建设及运行维护”“</w:t>
      </w:r>
      <w:r>
        <w:rPr>
          <w:rFonts w:hint="default" w:ascii="Times New Roman" w:hAnsi="Times New Roman" w:eastAsia="仿宋_GB2312" w:cs="Times New Roman"/>
          <w:color w:val="auto"/>
          <w:sz w:val="32"/>
          <w:szCs w:val="32"/>
          <w:lang w:val="en-US" w:eastAsia="zh-CN"/>
        </w:rPr>
        <w:t>省属企业年度财务审计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国资监管工作劳务费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劳务费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办公房租赁</w:t>
      </w:r>
      <w:r>
        <w:rPr>
          <w:rFonts w:hint="default" w:ascii="Times New Roman" w:hAnsi="Times New Roman" w:eastAsia="仿宋_GB2312" w:cs="Times New Roman"/>
          <w:color w:val="auto"/>
          <w:sz w:val="32"/>
          <w:szCs w:val="32"/>
        </w:rPr>
        <w:t>”等5个项目绩效目标实际完成情况。</w:t>
      </w:r>
    </w:p>
    <w:p>
      <w:pPr>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（1）信息化建设及运行维护项目绩效目标完成情况综述。项目全年预算数</w:t>
      </w:r>
      <w:r>
        <w:rPr>
          <w:rFonts w:hint="default" w:ascii="Times New Roman" w:hAnsi="Times New Roman" w:eastAsia="仿宋_GB2312" w:cs="Times New Roman"/>
          <w:color w:val="auto"/>
          <w:sz w:val="32"/>
          <w:szCs w:val="32"/>
          <w:lang w:val="en-US" w:eastAsia="zh-CN"/>
        </w:rPr>
        <w:t>235</w:t>
      </w:r>
      <w:r>
        <w:rPr>
          <w:rFonts w:hint="default" w:ascii="Times New Roman" w:hAnsi="Times New Roman" w:eastAsia="仿宋_GB2312" w:cs="Times New Roman"/>
          <w:color w:val="auto"/>
          <w:sz w:val="32"/>
          <w:szCs w:val="32"/>
        </w:rPr>
        <w:t>万元，执行数为</w:t>
      </w:r>
      <w:r>
        <w:rPr>
          <w:rFonts w:hint="default" w:ascii="Times New Roman" w:hAnsi="Times New Roman" w:eastAsia="仿宋_GB2312" w:cs="Times New Roman"/>
          <w:color w:val="auto"/>
          <w:sz w:val="32"/>
          <w:szCs w:val="32"/>
          <w:lang w:val="en-US" w:eastAsia="zh-CN"/>
        </w:rPr>
        <w:t>234.8</w:t>
      </w:r>
      <w:r>
        <w:rPr>
          <w:rFonts w:hint="default" w:ascii="Times New Roman" w:hAnsi="Times New Roman" w:eastAsia="仿宋_GB2312" w:cs="Times New Roman"/>
          <w:color w:val="auto"/>
          <w:sz w:val="32"/>
          <w:szCs w:val="32"/>
        </w:rPr>
        <w:t>万元，完成预算的</w:t>
      </w:r>
      <w:r>
        <w:rPr>
          <w:rFonts w:hint="default" w:ascii="Times New Roman" w:hAnsi="Times New Roman" w:eastAsia="仿宋_GB2312" w:cs="Times New Roman"/>
          <w:color w:val="auto"/>
          <w:sz w:val="32"/>
          <w:szCs w:val="32"/>
          <w:lang w:val="en-US" w:eastAsia="zh-CN"/>
        </w:rPr>
        <w:t>99.91</w:t>
      </w:r>
      <w:r>
        <w:rPr>
          <w:rFonts w:hint="default" w:ascii="Times New Roman" w:hAnsi="Times New Roman" w:eastAsia="仿宋_GB2312" w:cs="Times New Roman"/>
          <w:color w:val="auto"/>
          <w:sz w:val="32"/>
          <w:szCs w:val="32"/>
        </w:rPr>
        <w:t>%。通过项目实施，保障机关信息网络正常运行，专项经费主要用于日常信息网络运行和维护，包括基础网络服务保障、信息综合平台整合维护、普通耗材及配件等，确保了单位信息通信、信息化办公顺利开展。发现的主要问题：预算编制精准度有待进一步提升。下一步改进措施：在编制预算时进一步细化量化经费使用需求，提升预算编制精准度。</w:t>
      </w:r>
    </w:p>
    <w:p>
      <w:pPr>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）省属企业年度财务审计项目绩效目标完成情况综述。项目全年预算数</w:t>
      </w:r>
      <w:r>
        <w:rPr>
          <w:rFonts w:hint="default" w:ascii="Times New Roman" w:hAnsi="Times New Roman" w:eastAsia="仿宋_GB2312" w:cs="Times New Roman"/>
          <w:color w:val="auto"/>
          <w:sz w:val="32"/>
          <w:szCs w:val="32"/>
          <w:lang w:val="en-US" w:eastAsia="zh-CN"/>
        </w:rPr>
        <w:t>1467.75</w:t>
      </w:r>
      <w:r>
        <w:rPr>
          <w:rFonts w:hint="default" w:ascii="Times New Roman" w:hAnsi="Times New Roman" w:eastAsia="仿宋_GB2312" w:cs="Times New Roman"/>
          <w:color w:val="auto"/>
          <w:sz w:val="32"/>
          <w:szCs w:val="32"/>
        </w:rPr>
        <w:t>万元，执行数为</w:t>
      </w:r>
      <w:r>
        <w:rPr>
          <w:rFonts w:hint="default" w:ascii="Times New Roman" w:hAnsi="Times New Roman" w:eastAsia="仿宋_GB2312" w:cs="Times New Roman"/>
          <w:color w:val="auto"/>
          <w:sz w:val="32"/>
          <w:szCs w:val="32"/>
          <w:lang w:val="en-US" w:eastAsia="zh-CN"/>
        </w:rPr>
        <w:t>1181.35</w:t>
      </w:r>
      <w:r>
        <w:rPr>
          <w:rFonts w:hint="default" w:ascii="Times New Roman" w:hAnsi="Times New Roman" w:eastAsia="仿宋_GB2312" w:cs="Times New Roman"/>
          <w:color w:val="auto"/>
          <w:sz w:val="32"/>
          <w:szCs w:val="32"/>
        </w:rPr>
        <w:t>万元，完成预算的</w:t>
      </w:r>
      <w:r>
        <w:rPr>
          <w:rFonts w:hint="default" w:ascii="Times New Roman" w:hAnsi="Times New Roman" w:eastAsia="仿宋_GB2312" w:cs="Times New Roman"/>
          <w:color w:val="auto"/>
          <w:sz w:val="32"/>
          <w:szCs w:val="32"/>
          <w:lang w:val="en-US" w:eastAsia="zh-CN"/>
        </w:rPr>
        <w:t>80.49</w:t>
      </w:r>
      <w:r>
        <w:rPr>
          <w:rFonts w:hint="default" w:ascii="Times New Roman" w:hAnsi="Times New Roman" w:eastAsia="仿宋_GB2312" w:cs="Times New Roman"/>
          <w:color w:val="auto"/>
          <w:sz w:val="32"/>
          <w:szCs w:val="32"/>
        </w:rPr>
        <w:t>%。通过项目实施，保障省属企业年度财务审计正常开展。通过选聘并委托中介机构，对省属企业年度财务决算审计、经营业绩考核清算及工资专项审计、国有资本收益审核等事项进行中介服务，出具审计、审核报告。通过审计监督，更好地促进企业领导人员依法履职、廉洁从业，确保企业稳定健康发展。发现的主要问题：</w:t>
      </w:r>
      <w:r>
        <w:rPr>
          <w:rFonts w:hint="default" w:ascii="Times New Roman" w:hAnsi="Times New Roman" w:eastAsia="仿宋_GB2312" w:cs="Times New Roman"/>
          <w:color w:val="auto"/>
          <w:sz w:val="32"/>
          <w:szCs w:val="32"/>
          <w:lang w:val="en-US" w:eastAsia="zh-CN"/>
        </w:rPr>
        <w:t>预算编制精细化程度有待提高，</w:t>
      </w:r>
      <w:r>
        <w:rPr>
          <w:rFonts w:hint="default" w:ascii="Times New Roman" w:hAnsi="Times New Roman" w:eastAsia="仿宋_GB2312" w:cs="Times New Roman"/>
          <w:color w:val="auto"/>
          <w:sz w:val="32"/>
          <w:szCs w:val="32"/>
        </w:rPr>
        <w:t>绩效目标编制指标有待进一步细化量化。下一步改进措施：在编制预算时进一步细化量化经费使用需求，提升预算编制精准度。提升绩效目标编制细化量化程度，合理编制绩效目标。</w:t>
      </w:r>
    </w:p>
    <w:p>
      <w:pPr>
        <w:spacing w:line="57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国资监管工作劳务费</w:t>
      </w:r>
      <w:r>
        <w:rPr>
          <w:rFonts w:hint="default" w:ascii="Times New Roman" w:hAnsi="Times New Roman" w:eastAsia="仿宋_GB2312" w:cs="Times New Roman"/>
          <w:color w:val="auto"/>
          <w:sz w:val="32"/>
          <w:szCs w:val="32"/>
        </w:rPr>
        <w:t>项目绩效目标完成情况综述。</w:t>
      </w:r>
      <w:r>
        <w:rPr>
          <w:rFonts w:hint="default" w:ascii="Times New Roman" w:hAnsi="Times New Roman" w:eastAsia="仿宋_GB2312" w:cs="Times New Roman"/>
          <w:color w:val="auto"/>
          <w:sz w:val="32"/>
          <w:szCs w:val="32"/>
          <w:lang w:val="en-US" w:eastAsia="zh-CN"/>
        </w:rPr>
        <w:t>项目全年预算数371万元，执行数为371万元，完成预算100%。通过项目实施，解决食堂员工劳务费，职工食堂费用，临时用工及其他劳务费，专家讲课评审及新闻媒体劳务费。</w:t>
      </w:r>
    </w:p>
    <w:p>
      <w:pPr>
        <w:spacing w:line="57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劳务费</w:t>
      </w:r>
      <w:r>
        <w:rPr>
          <w:rFonts w:hint="default" w:ascii="Times New Roman" w:hAnsi="Times New Roman" w:eastAsia="仿宋_GB2312" w:cs="Times New Roman"/>
          <w:color w:val="auto"/>
          <w:sz w:val="32"/>
          <w:szCs w:val="32"/>
        </w:rPr>
        <w:t>项目绩效目标完成情况综述。</w:t>
      </w:r>
      <w:r>
        <w:rPr>
          <w:rFonts w:hint="default" w:ascii="Times New Roman" w:hAnsi="Times New Roman" w:eastAsia="仿宋_GB2312" w:cs="Times New Roman"/>
          <w:color w:val="auto"/>
          <w:sz w:val="32"/>
          <w:szCs w:val="32"/>
          <w:lang w:val="en-US" w:eastAsia="zh-CN"/>
        </w:rPr>
        <w:t>项目全年预算数125万元，执行数为125万元，完成预算100%。通过项目实施，根据机关工作需要面向社会聘用工作人员，按岗位条件满足机关办公需求，主要用于聘用人员工资福利等保障经费支出。</w:t>
      </w:r>
    </w:p>
    <w:p>
      <w:pPr>
        <w:spacing w:line="57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办公房租赁</w:t>
      </w:r>
      <w:r>
        <w:rPr>
          <w:rFonts w:hint="default" w:ascii="Times New Roman" w:hAnsi="Times New Roman" w:eastAsia="仿宋_GB2312" w:cs="Times New Roman"/>
          <w:color w:val="auto"/>
          <w:sz w:val="32"/>
          <w:szCs w:val="32"/>
        </w:rPr>
        <w:t>项目绩效目标完成情况综述。</w:t>
      </w:r>
      <w:r>
        <w:rPr>
          <w:rFonts w:hint="default" w:ascii="Times New Roman" w:hAnsi="Times New Roman" w:eastAsia="仿宋_GB2312" w:cs="Times New Roman"/>
          <w:color w:val="auto"/>
          <w:sz w:val="32"/>
          <w:szCs w:val="32"/>
          <w:lang w:val="en-US" w:eastAsia="zh-CN"/>
        </w:rPr>
        <w:t>项目全年预算数570万元，执行数为570万元，完成预算100%。通过项目实施，租赁办公场所，保障机关办公需要。</w:t>
      </w:r>
    </w:p>
    <w:p>
      <w:pPr>
        <w:rPr>
          <w:rFonts w:hint="default" w:ascii="Times New Roman" w:hAnsi="Times New Roman" w:cs="Times New Roman"/>
          <w:lang w:val="en-US" w:eastAsia="zh-CN"/>
        </w:rPr>
        <w:sectPr>
          <w:footerReference r:id="rId5" w:type="first"/>
          <w:headerReference r:id="rId3" w:type="default"/>
          <w:footerReference r:id="rId4" w:type="default"/>
          <w:pgSz w:w="11906" w:h="16838"/>
          <w:pgMar w:top="1440" w:right="1800" w:bottom="1440" w:left="1800" w:header="851" w:footer="992" w:gutter="0"/>
          <w:pgNumType w:fmt="decimal"/>
          <w:cols w:space="0" w:num="1"/>
          <w:titlePg/>
          <w:docGrid w:type="lines" w:linePitch="312" w:charSpace="0"/>
        </w:sectPr>
      </w:pPr>
    </w:p>
    <w:tbl>
      <w:tblPr>
        <w:tblStyle w:val="16"/>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36"/>
                <w:szCs w:val="36"/>
                <w:highlight w:val="none"/>
              </w:rPr>
            </w:pPr>
            <w:r>
              <w:rPr>
                <w:rFonts w:hint="default" w:ascii="Times New Roman" w:hAnsi="Times New Roman" w:cs="Times New Roman"/>
                <w:b/>
                <w:bCs/>
                <w:color w:val="auto"/>
                <w:kern w:val="0"/>
                <w:sz w:val="36"/>
                <w:szCs w:val="36"/>
                <w:highlight w:val="none"/>
                <w:lang w:bidi="ar"/>
              </w:rPr>
              <w:t>项目绩效目标完成情况表</w:t>
            </w:r>
            <w:r>
              <w:rPr>
                <w:rFonts w:hint="default" w:ascii="Times New Roman" w:hAnsi="Times New Roman" w:cs="Times New Roman"/>
                <w:b/>
                <w:bCs/>
                <w:color w:val="auto"/>
                <w:kern w:val="0"/>
                <w:sz w:val="36"/>
                <w:szCs w:val="36"/>
                <w:highlight w:val="none"/>
                <w:lang w:bidi="ar"/>
              </w:rPr>
              <w:br w:type="textWrapping"/>
            </w:r>
            <w:r>
              <w:rPr>
                <w:rFonts w:hint="default" w:ascii="Times New Roman" w:hAnsi="Times New Roman" w:cs="Times New Roman"/>
                <w:color w:val="auto"/>
                <w:kern w:val="0"/>
                <w:sz w:val="36"/>
                <w:szCs w:val="36"/>
                <w:highlight w:val="none"/>
                <w:lang w:eastAsia="zh-CN" w:bidi="ar"/>
              </w:rPr>
              <w:t>（</w:t>
            </w:r>
            <w:r>
              <w:rPr>
                <w:rFonts w:hint="default" w:ascii="Times New Roman" w:hAnsi="Times New Roman" w:cs="Times New Roman"/>
                <w:color w:val="auto"/>
                <w:kern w:val="0"/>
                <w:sz w:val="36"/>
                <w:szCs w:val="36"/>
                <w:highlight w:val="none"/>
                <w:lang w:bidi="ar"/>
              </w:rPr>
              <w:t>20</w:t>
            </w:r>
            <w:r>
              <w:rPr>
                <w:rFonts w:hint="default" w:ascii="Times New Roman" w:hAnsi="Times New Roman" w:cs="Times New Roman"/>
                <w:color w:val="auto"/>
                <w:kern w:val="0"/>
                <w:sz w:val="36"/>
                <w:szCs w:val="36"/>
                <w:highlight w:val="none"/>
                <w:lang w:val="en-US" w:eastAsia="zh-CN" w:bidi="ar"/>
              </w:rPr>
              <w:t>20</w:t>
            </w:r>
            <w:r>
              <w:rPr>
                <w:rFonts w:hint="default" w:ascii="Times New Roman" w:hAnsi="Times New Roman" w:cs="Times New Roman"/>
                <w:color w:val="auto"/>
                <w:kern w:val="0"/>
                <w:sz w:val="36"/>
                <w:szCs w:val="36"/>
                <w:highlight w:val="none"/>
                <w:lang w:bidi="ar"/>
              </w:rPr>
              <w:t>年度</w:t>
            </w:r>
            <w:r>
              <w:rPr>
                <w:rFonts w:hint="default" w:ascii="Times New Roman" w:hAnsi="Times New Roman" w:cs="Times New Roman"/>
                <w:color w:val="auto"/>
                <w:kern w:val="0"/>
                <w:sz w:val="36"/>
                <w:szCs w:val="36"/>
                <w:highlight w:val="none"/>
                <w:lang w:eastAsia="zh-CN"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信息化建设及运行维护经费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四川省</w:t>
            </w:r>
            <w:r>
              <w:rPr>
                <w:rFonts w:hint="default" w:ascii="Times New Roman" w:hAnsi="Times New Roman" w:eastAsia="仿宋_GB2312" w:cs="Times New Roman"/>
                <w:color w:val="auto"/>
                <w:sz w:val="24"/>
                <w:highlight w:val="none"/>
                <w:lang w:eastAsia="zh-CN"/>
              </w:rPr>
              <w:t>政府</w:t>
            </w:r>
            <w:r>
              <w:rPr>
                <w:rFonts w:hint="default" w:ascii="Times New Roman" w:hAnsi="Times New Roman" w:eastAsia="仿宋_GB2312" w:cs="Times New Roman"/>
                <w:color w:val="auto"/>
                <w:sz w:val="24"/>
                <w:highlight w:val="none"/>
              </w:rPr>
              <w:t>国有资产监督管理委员会</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235万元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234.8万元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235万元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234.8万元</w:t>
            </w:r>
          </w:p>
        </w:tc>
      </w:tr>
      <w:tr>
        <w:tblPrEx>
          <w:tblCellMar>
            <w:top w:w="0" w:type="dxa"/>
            <w:left w:w="0" w:type="dxa"/>
            <w:bottom w:w="0" w:type="dxa"/>
            <w:right w:w="0" w:type="dxa"/>
          </w:tblCellMar>
        </w:tblPrEx>
        <w:trPr>
          <w:trHeight w:val="13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日常信息网络运行和维护：基础网络服务保障、信息综合平台维护、普通耗材及配件等，保障机关信息网络正常运行。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1.完成了日常信息网络运行和维护工作。2.完成了基础网络服务保障、信息综合平台维护。3.保障了委内普通耗材及配件的使用，全面保障了机关信息网络正常运行。</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开展信息综合平台使用情况调研，包括意见建议、使用人次数等。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≥5次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12次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开展通信系统专项安全检查工作，包括系统设备运行状态检查、网络安全检查等。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12次</w:t>
            </w:r>
          </w:p>
        </w:tc>
      </w:tr>
      <w:tr>
        <w:tblPrEx>
          <w:tblCellMar>
            <w:top w:w="0" w:type="dxa"/>
            <w:left w:w="0" w:type="dxa"/>
            <w:bottom w:w="0" w:type="dxa"/>
            <w:right w:w="0" w:type="dxa"/>
          </w:tblCellMar>
        </w:tblPrEx>
        <w:trPr>
          <w:trHeight w:val="70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通</w:t>
            </w:r>
            <w:r>
              <w:rPr>
                <w:rFonts w:hint="default" w:ascii="Times New Roman" w:hAnsi="Times New Roman" w:eastAsia="仿宋_GB2312" w:cs="Times New Roman"/>
                <w:color w:val="auto"/>
                <w:spacing w:val="-11"/>
                <w:sz w:val="24"/>
                <w:highlight w:val="none"/>
              </w:rPr>
              <w:t>信系统故障率（故障次数占使用次数的比例）。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0</w:t>
            </w:r>
          </w:p>
        </w:tc>
      </w:tr>
      <w:tr>
        <w:tblPrEx>
          <w:tblCellMar>
            <w:top w:w="0" w:type="dxa"/>
            <w:left w:w="0" w:type="dxa"/>
            <w:bottom w:w="0" w:type="dxa"/>
            <w:right w:w="0" w:type="dxa"/>
          </w:tblCellMar>
        </w:tblPrEx>
        <w:trPr>
          <w:trHeight w:val="89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信</w:t>
            </w:r>
            <w:r>
              <w:rPr>
                <w:rFonts w:hint="default" w:ascii="Times New Roman" w:hAnsi="Times New Roman" w:eastAsia="仿宋_GB2312" w:cs="Times New Roman"/>
                <w:color w:val="auto"/>
                <w:spacing w:val="-11"/>
                <w:sz w:val="24"/>
                <w:highlight w:val="none"/>
              </w:rPr>
              <w:t>息系统所有软件更新时限（发布到更新时间）。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≤30天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应用系统验证通过后即时更新，一周不少于一次</w:t>
            </w:r>
          </w:p>
        </w:tc>
      </w:tr>
      <w:tr>
        <w:tblPrEx>
          <w:tblCellMar>
            <w:top w:w="0" w:type="dxa"/>
            <w:left w:w="0" w:type="dxa"/>
            <w:bottom w:w="0" w:type="dxa"/>
            <w:right w:w="0" w:type="dxa"/>
          </w:tblCellMar>
        </w:tblPrEx>
        <w:trPr>
          <w:trHeight w:val="57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信</w:t>
            </w:r>
            <w:r>
              <w:rPr>
                <w:rFonts w:hint="default" w:ascii="Times New Roman" w:hAnsi="Times New Roman" w:eastAsia="仿宋_GB2312" w:cs="Times New Roman"/>
                <w:color w:val="auto"/>
                <w:spacing w:val="-11"/>
                <w:sz w:val="24"/>
                <w:highlight w:val="none"/>
              </w:rPr>
              <w:t>息综合平台月使用率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100%</w:t>
            </w:r>
          </w:p>
        </w:tc>
      </w:tr>
      <w:tr>
        <w:tblPrEx>
          <w:tblCellMar>
            <w:top w:w="0" w:type="dxa"/>
            <w:left w:w="0" w:type="dxa"/>
            <w:bottom w:w="0" w:type="dxa"/>
            <w:right w:w="0" w:type="dxa"/>
          </w:tblCellMar>
        </w:tblPrEx>
        <w:trPr>
          <w:trHeight w:val="70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信息系统使用年限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≥5年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长期运行</w:t>
            </w:r>
          </w:p>
        </w:tc>
      </w:tr>
      <w:tr>
        <w:tblPrEx>
          <w:tblCellMar>
            <w:top w:w="0" w:type="dxa"/>
            <w:left w:w="0" w:type="dxa"/>
            <w:bottom w:w="0" w:type="dxa"/>
            <w:right w:w="0" w:type="dxa"/>
          </w:tblCellMar>
        </w:tblPrEx>
        <w:trPr>
          <w:trHeight w:val="569"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98%</w:t>
            </w:r>
          </w:p>
        </w:tc>
      </w:tr>
    </w:tbl>
    <w:p>
      <w:pPr>
        <w:pStyle w:val="6"/>
        <w:rPr>
          <w:rFonts w:hint="default" w:ascii="Times New Roman" w:hAnsi="Times New Roman" w:cs="Times New Roman"/>
          <w:lang w:val="en-US" w:eastAsia="zh-CN"/>
        </w:rPr>
      </w:pPr>
    </w:p>
    <w:tbl>
      <w:tblPr>
        <w:tblStyle w:val="16"/>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36"/>
                <w:szCs w:val="36"/>
                <w:highlight w:val="none"/>
              </w:rPr>
            </w:pPr>
            <w:r>
              <w:rPr>
                <w:rFonts w:hint="default" w:ascii="Times New Roman" w:hAnsi="Times New Roman" w:cs="Times New Roman"/>
                <w:b/>
                <w:bCs/>
                <w:color w:val="auto"/>
                <w:kern w:val="0"/>
                <w:sz w:val="36"/>
                <w:szCs w:val="36"/>
                <w:highlight w:val="none"/>
                <w:lang w:bidi="ar"/>
              </w:rPr>
              <w:t>项目绩效目标完成情况表</w:t>
            </w:r>
            <w:r>
              <w:rPr>
                <w:rFonts w:hint="default" w:ascii="Times New Roman" w:hAnsi="Times New Roman" w:cs="Times New Roman"/>
                <w:b/>
                <w:bCs/>
                <w:color w:val="auto"/>
                <w:kern w:val="0"/>
                <w:sz w:val="36"/>
                <w:szCs w:val="36"/>
                <w:highlight w:val="none"/>
                <w:lang w:bidi="ar"/>
              </w:rPr>
              <w:br w:type="textWrapping"/>
            </w:r>
            <w:r>
              <w:rPr>
                <w:rFonts w:hint="default" w:ascii="Times New Roman" w:hAnsi="Times New Roman" w:cs="Times New Roman"/>
                <w:color w:val="auto"/>
                <w:kern w:val="0"/>
                <w:sz w:val="36"/>
                <w:szCs w:val="36"/>
                <w:highlight w:val="none"/>
                <w:lang w:eastAsia="zh-CN" w:bidi="ar"/>
              </w:rPr>
              <w:t>（</w:t>
            </w:r>
            <w:r>
              <w:rPr>
                <w:rFonts w:hint="default" w:ascii="Times New Roman" w:hAnsi="Times New Roman" w:cs="Times New Roman"/>
                <w:color w:val="auto"/>
                <w:kern w:val="0"/>
                <w:sz w:val="36"/>
                <w:szCs w:val="36"/>
                <w:highlight w:val="none"/>
                <w:lang w:bidi="ar"/>
              </w:rPr>
              <w:t>20</w:t>
            </w:r>
            <w:r>
              <w:rPr>
                <w:rFonts w:hint="default" w:ascii="Times New Roman" w:hAnsi="Times New Roman" w:cs="Times New Roman"/>
                <w:color w:val="auto"/>
                <w:kern w:val="0"/>
                <w:sz w:val="36"/>
                <w:szCs w:val="36"/>
                <w:highlight w:val="none"/>
                <w:lang w:val="en-US" w:eastAsia="zh-CN" w:bidi="ar"/>
              </w:rPr>
              <w:t>20</w:t>
            </w:r>
            <w:r>
              <w:rPr>
                <w:rFonts w:hint="default" w:ascii="Times New Roman" w:hAnsi="Times New Roman" w:cs="Times New Roman"/>
                <w:color w:val="auto"/>
                <w:kern w:val="0"/>
                <w:sz w:val="36"/>
                <w:szCs w:val="36"/>
                <w:highlight w:val="none"/>
                <w:lang w:bidi="ar"/>
              </w:rPr>
              <w:t>年度</w:t>
            </w:r>
            <w:r>
              <w:rPr>
                <w:rFonts w:hint="default" w:ascii="Times New Roman" w:hAnsi="Times New Roman" w:cs="Times New Roman"/>
                <w:color w:val="auto"/>
                <w:kern w:val="0"/>
                <w:sz w:val="36"/>
                <w:szCs w:val="36"/>
                <w:highlight w:val="none"/>
                <w:lang w:eastAsia="zh-CN"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省属企业年度财务审计</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四川省</w:t>
            </w:r>
            <w:r>
              <w:rPr>
                <w:rFonts w:hint="default" w:ascii="Times New Roman" w:hAnsi="Times New Roman" w:eastAsia="仿宋_GB2312" w:cs="Times New Roman"/>
                <w:color w:val="auto"/>
                <w:sz w:val="24"/>
                <w:highlight w:val="none"/>
                <w:lang w:eastAsia="zh-CN"/>
              </w:rPr>
              <w:t>政府</w:t>
            </w:r>
            <w:r>
              <w:rPr>
                <w:rFonts w:hint="default" w:ascii="Times New Roman" w:hAnsi="Times New Roman" w:eastAsia="仿宋_GB2312" w:cs="Times New Roman"/>
                <w:color w:val="auto"/>
                <w:sz w:val="24"/>
                <w:highlight w:val="none"/>
              </w:rPr>
              <w:t>国有资产监督管理委员会</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1467.75万元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1181.35万元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1467.75万元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1181.35万元</w:t>
            </w:r>
          </w:p>
        </w:tc>
      </w:tr>
      <w:tr>
        <w:tblPrEx>
          <w:tblCellMar>
            <w:top w:w="0" w:type="dxa"/>
            <w:left w:w="0" w:type="dxa"/>
            <w:bottom w:w="0" w:type="dxa"/>
            <w:right w:w="0" w:type="dxa"/>
          </w:tblCellMar>
        </w:tblPrEx>
        <w:trPr>
          <w:trHeight w:val="122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仿宋_GB2312" w:cs="Times New Roman"/>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完成2019年度省属企业年度企业财务决算审计、经营业绩考核清算及工资专项审计和国有资本收益审核。</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完成2019年度省属企业年度企业财务决算审计、经营业绩考核清算及工资专项审计和国有资本收益审核。</w:t>
            </w:r>
          </w:p>
        </w:tc>
      </w:tr>
      <w:tr>
        <w:tblPrEx>
          <w:tblCellMar>
            <w:top w:w="0" w:type="dxa"/>
            <w:left w:w="0" w:type="dxa"/>
            <w:bottom w:w="0" w:type="dxa"/>
            <w:right w:w="0" w:type="dxa"/>
          </w:tblCellMar>
        </w:tblPrEx>
        <w:trPr>
          <w:trHeight w:val="79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实际完成指标值(包含数字及文字描述)</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所有报告符合法律法规和国资委相关规定的要求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所有报告符合法律法规和国资委相关规定的要求</w:t>
            </w:r>
          </w:p>
        </w:tc>
      </w:tr>
      <w:tr>
        <w:tblPrEx>
          <w:tblCellMar>
            <w:top w:w="0" w:type="dxa"/>
            <w:left w:w="0" w:type="dxa"/>
            <w:bottom w:w="0" w:type="dxa"/>
            <w:right w:w="0" w:type="dxa"/>
          </w:tblCellMar>
        </w:tblPrEx>
        <w:trPr>
          <w:trHeight w:val="73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完成（上报）时限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所有报告按业务约定书的规定时间上报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所有报告按业务约定书的规定时间上报</w:t>
            </w:r>
          </w:p>
        </w:tc>
      </w:tr>
      <w:tr>
        <w:tblPrEx>
          <w:tblCellMar>
            <w:top w:w="0" w:type="dxa"/>
            <w:left w:w="0" w:type="dxa"/>
            <w:bottom w:w="0" w:type="dxa"/>
            <w:right w:w="0" w:type="dxa"/>
          </w:tblCellMar>
        </w:tblPrEx>
        <w:trPr>
          <w:trHeight w:val="65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费用控制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委托费用控制在预算标准内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实际支付费用低于预算标准</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对省国资委工作的促进作用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作为省国资委财务决算批复、经营业绩考核、工资清算、国有资本收益收缴的直接依据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作为省国资委财务决算批复、经营业绩考核、工资清算、国有资本收益收缴的直接依据</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财务决算报告使用年限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长期</w:t>
            </w:r>
          </w:p>
        </w:tc>
      </w:tr>
    </w:tbl>
    <w:p>
      <w:pPr>
        <w:spacing w:line="580" w:lineRule="exact"/>
        <w:ind w:left="630"/>
        <w:rPr>
          <w:rFonts w:hint="default" w:ascii="Times New Roman" w:hAnsi="Times New Roman" w:eastAsia="仿宋_GB2312" w:cs="Times New Roman"/>
          <w:color w:val="auto"/>
          <w:sz w:val="32"/>
          <w:szCs w:val="32"/>
        </w:rPr>
      </w:pPr>
    </w:p>
    <w:tbl>
      <w:tblPr>
        <w:tblStyle w:val="16"/>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36"/>
                <w:szCs w:val="36"/>
                <w:highlight w:val="none"/>
              </w:rPr>
            </w:pPr>
            <w:r>
              <w:rPr>
                <w:rFonts w:hint="default" w:ascii="Times New Roman" w:hAnsi="Times New Roman" w:cs="Times New Roman"/>
                <w:b/>
                <w:bCs/>
                <w:color w:val="auto"/>
                <w:kern w:val="0"/>
                <w:sz w:val="36"/>
                <w:szCs w:val="36"/>
                <w:highlight w:val="none"/>
                <w:lang w:bidi="ar"/>
              </w:rPr>
              <w:t>项目绩效目标完成情况表</w:t>
            </w:r>
            <w:r>
              <w:rPr>
                <w:rFonts w:hint="default" w:ascii="Times New Roman" w:hAnsi="Times New Roman" w:cs="Times New Roman"/>
                <w:b/>
                <w:bCs/>
                <w:color w:val="auto"/>
                <w:kern w:val="0"/>
                <w:sz w:val="36"/>
                <w:szCs w:val="36"/>
                <w:highlight w:val="none"/>
                <w:lang w:bidi="ar"/>
              </w:rPr>
              <w:br w:type="textWrapping"/>
            </w:r>
            <w:r>
              <w:rPr>
                <w:rFonts w:hint="default" w:ascii="Times New Roman" w:hAnsi="Times New Roman" w:cs="Times New Roman"/>
                <w:color w:val="auto"/>
                <w:kern w:val="0"/>
                <w:sz w:val="36"/>
                <w:szCs w:val="36"/>
                <w:highlight w:val="none"/>
                <w:lang w:eastAsia="zh-CN" w:bidi="ar"/>
              </w:rPr>
              <w:t>（</w:t>
            </w:r>
            <w:r>
              <w:rPr>
                <w:rFonts w:hint="default" w:ascii="Times New Roman" w:hAnsi="Times New Roman" w:cs="Times New Roman"/>
                <w:color w:val="auto"/>
                <w:kern w:val="0"/>
                <w:sz w:val="36"/>
                <w:szCs w:val="36"/>
                <w:highlight w:val="none"/>
                <w:lang w:bidi="ar"/>
              </w:rPr>
              <w:t>20</w:t>
            </w:r>
            <w:r>
              <w:rPr>
                <w:rFonts w:hint="default" w:ascii="Times New Roman" w:hAnsi="Times New Roman" w:cs="Times New Roman"/>
                <w:color w:val="auto"/>
                <w:kern w:val="0"/>
                <w:sz w:val="36"/>
                <w:szCs w:val="36"/>
                <w:highlight w:val="none"/>
                <w:lang w:val="en-US" w:eastAsia="zh-CN" w:bidi="ar"/>
              </w:rPr>
              <w:t>20</w:t>
            </w:r>
            <w:r>
              <w:rPr>
                <w:rFonts w:hint="default" w:ascii="Times New Roman" w:hAnsi="Times New Roman" w:cs="Times New Roman"/>
                <w:color w:val="auto"/>
                <w:kern w:val="0"/>
                <w:sz w:val="36"/>
                <w:szCs w:val="36"/>
                <w:highlight w:val="none"/>
                <w:lang w:bidi="ar"/>
              </w:rPr>
              <w:t>年度</w:t>
            </w:r>
            <w:r>
              <w:rPr>
                <w:rFonts w:hint="default" w:ascii="Times New Roman" w:hAnsi="Times New Roman" w:cs="Times New Roman"/>
                <w:color w:val="auto"/>
                <w:kern w:val="0"/>
                <w:sz w:val="36"/>
                <w:szCs w:val="36"/>
                <w:highlight w:val="none"/>
                <w:lang w:eastAsia="zh-CN"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国资监管工作劳务费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四川省</w:t>
            </w:r>
            <w:r>
              <w:rPr>
                <w:rFonts w:hint="default" w:ascii="Times New Roman" w:hAnsi="Times New Roman" w:eastAsia="仿宋_GB2312" w:cs="Times New Roman"/>
                <w:color w:val="auto"/>
                <w:sz w:val="24"/>
                <w:highlight w:val="none"/>
                <w:lang w:eastAsia="zh-CN"/>
              </w:rPr>
              <w:t>政府</w:t>
            </w:r>
            <w:r>
              <w:rPr>
                <w:rFonts w:hint="default" w:ascii="Times New Roman" w:hAnsi="Times New Roman" w:eastAsia="仿宋_GB2312" w:cs="Times New Roman"/>
                <w:color w:val="auto"/>
                <w:sz w:val="24"/>
                <w:highlight w:val="none"/>
              </w:rPr>
              <w:t>国有资产监督管理委员会</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371万元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371万元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371万元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371万元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解决食堂员工劳务费，职工食堂费用，临时用工及其他劳务费，专家讲课评审及新闻媒体劳务费。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解决食堂员工劳务费，职工食堂费用，临时用工及其他劳务费，专家讲课评审及新闻媒体劳务费。</w:t>
            </w:r>
          </w:p>
        </w:tc>
      </w:tr>
      <w:tr>
        <w:tblPrEx>
          <w:tblCellMar>
            <w:top w:w="0" w:type="dxa"/>
            <w:left w:w="0" w:type="dxa"/>
            <w:bottom w:w="0" w:type="dxa"/>
            <w:right w:w="0" w:type="dxa"/>
          </w:tblCellMar>
        </w:tblPrEx>
        <w:trPr>
          <w:trHeight w:val="883"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实际完成指标值(包含数字及文字描述)</w:t>
            </w:r>
          </w:p>
        </w:tc>
      </w:tr>
      <w:tr>
        <w:tblPrEx>
          <w:tblCellMar>
            <w:top w:w="0" w:type="dxa"/>
            <w:left w:w="0" w:type="dxa"/>
            <w:bottom w:w="0" w:type="dxa"/>
            <w:right w:w="0" w:type="dxa"/>
          </w:tblCellMar>
        </w:tblPrEx>
        <w:trPr>
          <w:trHeight w:val="88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劳务支出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工作达到需求人满意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工作达到需求人满意</w:t>
            </w:r>
          </w:p>
        </w:tc>
      </w:tr>
      <w:tr>
        <w:tblPrEx>
          <w:tblCellMar>
            <w:top w:w="0" w:type="dxa"/>
            <w:left w:w="0" w:type="dxa"/>
            <w:bottom w:w="0" w:type="dxa"/>
            <w:right w:w="0" w:type="dxa"/>
          </w:tblCellMar>
        </w:tblPrEx>
        <w:trPr>
          <w:trHeight w:val="791"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劳务费用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控制在预算内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371万元</w:t>
            </w:r>
          </w:p>
        </w:tc>
      </w:tr>
      <w:tr>
        <w:tblPrEx>
          <w:tblCellMar>
            <w:top w:w="0" w:type="dxa"/>
            <w:left w:w="0" w:type="dxa"/>
            <w:bottom w:w="0" w:type="dxa"/>
            <w:right w:w="0" w:type="dxa"/>
          </w:tblCellMar>
        </w:tblPrEx>
        <w:trPr>
          <w:trHeight w:val="996"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对国资监管工作的促进作用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促进国资监管工作有序开展，保障机关运行劳务需求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促进国资监管工作有序开展，保障机关运行劳务需求</w:t>
            </w:r>
          </w:p>
        </w:tc>
      </w:tr>
      <w:tr>
        <w:tblPrEx>
          <w:tblCellMar>
            <w:top w:w="0" w:type="dxa"/>
            <w:left w:w="0" w:type="dxa"/>
            <w:bottom w:w="0" w:type="dxa"/>
            <w:right w:w="0" w:type="dxa"/>
          </w:tblCellMar>
        </w:tblPrEx>
        <w:trPr>
          <w:trHeight w:val="107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长期性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工作正常运行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工作正常运行</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职工满意度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≥95%</w:t>
            </w:r>
          </w:p>
        </w:tc>
      </w:tr>
    </w:tbl>
    <w:p>
      <w:pPr>
        <w:pStyle w:val="8"/>
        <w:rPr>
          <w:rFonts w:hint="default" w:ascii="Times New Roman" w:hAnsi="Times New Roman" w:eastAsia="仿宋_GB2312" w:cs="Times New Roman"/>
        </w:rPr>
      </w:pPr>
    </w:p>
    <w:tbl>
      <w:tblPr>
        <w:tblStyle w:val="16"/>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36"/>
                <w:szCs w:val="36"/>
                <w:highlight w:val="none"/>
              </w:rPr>
            </w:pPr>
            <w:r>
              <w:rPr>
                <w:rFonts w:hint="default" w:ascii="Times New Roman" w:hAnsi="Times New Roman" w:cs="Times New Roman"/>
                <w:b/>
                <w:bCs/>
                <w:color w:val="auto"/>
                <w:kern w:val="0"/>
                <w:sz w:val="36"/>
                <w:szCs w:val="36"/>
                <w:highlight w:val="none"/>
                <w:lang w:bidi="ar"/>
              </w:rPr>
              <w:t>项目绩效目标完成情况表</w:t>
            </w:r>
            <w:r>
              <w:rPr>
                <w:rFonts w:hint="default" w:ascii="Times New Roman" w:hAnsi="Times New Roman" w:cs="Times New Roman"/>
                <w:b/>
                <w:bCs/>
                <w:color w:val="auto"/>
                <w:kern w:val="0"/>
                <w:sz w:val="36"/>
                <w:szCs w:val="36"/>
                <w:highlight w:val="none"/>
                <w:lang w:bidi="ar"/>
              </w:rPr>
              <w:br w:type="textWrapping"/>
            </w:r>
            <w:r>
              <w:rPr>
                <w:rFonts w:hint="default" w:ascii="Times New Roman" w:hAnsi="Times New Roman" w:cs="Times New Roman"/>
                <w:color w:val="auto"/>
                <w:kern w:val="0"/>
                <w:sz w:val="36"/>
                <w:szCs w:val="36"/>
                <w:highlight w:val="none"/>
                <w:lang w:eastAsia="zh-CN" w:bidi="ar"/>
              </w:rPr>
              <w:t>（</w:t>
            </w:r>
            <w:r>
              <w:rPr>
                <w:rFonts w:hint="default" w:ascii="Times New Roman" w:hAnsi="Times New Roman" w:cs="Times New Roman"/>
                <w:color w:val="auto"/>
                <w:kern w:val="0"/>
                <w:sz w:val="36"/>
                <w:szCs w:val="36"/>
                <w:highlight w:val="none"/>
                <w:lang w:bidi="ar"/>
              </w:rPr>
              <w:t>20</w:t>
            </w:r>
            <w:r>
              <w:rPr>
                <w:rFonts w:hint="default" w:ascii="Times New Roman" w:hAnsi="Times New Roman" w:cs="Times New Roman"/>
                <w:color w:val="auto"/>
                <w:kern w:val="0"/>
                <w:sz w:val="36"/>
                <w:szCs w:val="36"/>
                <w:highlight w:val="none"/>
                <w:lang w:val="en-US" w:eastAsia="zh-CN" w:bidi="ar"/>
              </w:rPr>
              <w:t>20</w:t>
            </w:r>
            <w:r>
              <w:rPr>
                <w:rFonts w:hint="default" w:ascii="Times New Roman" w:hAnsi="Times New Roman" w:cs="Times New Roman"/>
                <w:color w:val="auto"/>
                <w:kern w:val="0"/>
                <w:sz w:val="36"/>
                <w:szCs w:val="36"/>
                <w:highlight w:val="none"/>
                <w:lang w:bidi="ar"/>
              </w:rPr>
              <w:t>年度</w:t>
            </w:r>
            <w:r>
              <w:rPr>
                <w:rFonts w:hint="default" w:ascii="Times New Roman" w:hAnsi="Times New Roman" w:cs="Times New Roman"/>
                <w:color w:val="auto"/>
                <w:kern w:val="0"/>
                <w:sz w:val="36"/>
                <w:szCs w:val="36"/>
                <w:highlight w:val="none"/>
                <w:lang w:eastAsia="zh-CN"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劳务费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四川省</w:t>
            </w:r>
            <w:r>
              <w:rPr>
                <w:rFonts w:hint="default" w:ascii="Times New Roman" w:hAnsi="Times New Roman" w:eastAsia="仿宋_GB2312" w:cs="Times New Roman"/>
                <w:color w:val="auto"/>
                <w:sz w:val="24"/>
                <w:highlight w:val="none"/>
                <w:lang w:eastAsia="zh-CN"/>
              </w:rPr>
              <w:t>政府</w:t>
            </w:r>
            <w:r>
              <w:rPr>
                <w:rFonts w:hint="default" w:ascii="Times New Roman" w:hAnsi="Times New Roman" w:eastAsia="仿宋_GB2312" w:cs="Times New Roman"/>
                <w:color w:val="auto"/>
                <w:sz w:val="24"/>
                <w:highlight w:val="none"/>
              </w:rPr>
              <w:t>国有资产监督管理委员会机关服务中心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125万元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125万元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125万元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125万元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根据机关工作需要面向社会聘用工作人员，按岗位条件满足机关办公需求，聘用人员工资福利等保障经费支出。</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根据机关工作需要面向社会聘用工作人员，按岗位条件满足机关办公需求，聘用人员工资福利等保障经费支出。</w:t>
            </w:r>
          </w:p>
        </w:tc>
      </w:tr>
      <w:tr>
        <w:tblPrEx>
          <w:tblCellMar>
            <w:top w:w="0" w:type="dxa"/>
            <w:left w:w="0" w:type="dxa"/>
            <w:bottom w:w="0" w:type="dxa"/>
            <w:right w:w="0" w:type="dxa"/>
          </w:tblCellMar>
        </w:tblPrEx>
        <w:trPr>
          <w:trHeight w:val="80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实际完成指标值(包含数字及文字描述)</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面向社会聘用工作人员12人，按月支付工资、绩效奖及其他保障性经费。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确保聘用人员满足机关日常工作需要。</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2020年度已聘用12人，且满足机关日常工作需要</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聘用人员及其他劳务人员按合同要求完成相应工作，满意度达到合同签订标准化要求。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达到98%以上</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厉行节约，加强监督和考核，实行专项经费保障管理办法。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全年保障经费控制在125万以内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全年保障经费支出</w:t>
            </w:r>
            <w:r>
              <w:rPr>
                <w:rFonts w:hint="default" w:ascii="Times New Roman" w:hAnsi="Times New Roman" w:eastAsia="仿宋_GB2312" w:cs="Times New Roman"/>
                <w:color w:val="auto"/>
                <w:sz w:val="24"/>
                <w:highlight w:val="none"/>
                <w:lang w:eastAsia="zh-CN"/>
              </w:rPr>
              <w:t>未</w:t>
            </w:r>
            <w:r>
              <w:rPr>
                <w:rFonts w:hint="default" w:ascii="Times New Roman" w:hAnsi="Times New Roman" w:eastAsia="仿宋_GB2312" w:cs="Times New Roman"/>
                <w:color w:val="auto"/>
                <w:sz w:val="24"/>
                <w:highlight w:val="none"/>
              </w:rPr>
              <w:t>超过125万</w:t>
            </w:r>
          </w:p>
        </w:tc>
      </w:tr>
      <w:tr>
        <w:tblPrEx>
          <w:tblCellMar>
            <w:top w:w="0" w:type="dxa"/>
            <w:left w:w="0" w:type="dxa"/>
            <w:bottom w:w="0" w:type="dxa"/>
            <w:right w:w="0" w:type="dxa"/>
          </w:tblCellMar>
        </w:tblPrEx>
        <w:trPr>
          <w:trHeight w:val="83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促进国资监管工作有序推进。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100%</w:t>
            </w:r>
          </w:p>
        </w:tc>
      </w:tr>
      <w:tr>
        <w:tblPrEx>
          <w:tblCellMar>
            <w:top w:w="0" w:type="dxa"/>
            <w:left w:w="0" w:type="dxa"/>
            <w:bottom w:w="0" w:type="dxa"/>
            <w:right w:w="0" w:type="dxa"/>
          </w:tblCellMar>
        </w:tblPrEx>
        <w:trPr>
          <w:trHeight w:val="83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聘用人员需求部门及管理部门满意度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年度测评满意度达到95%以上</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36"/>
                <w:szCs w:val="36"/>
                <w:highlight w:val="none"/>
              </w:rPr>
            </w:pPr>
            <w:bookmarkStart w:id="80" w:name="_GoBack" w:colFirst="0" w:colLast="5"/>
            <w:r>
              <w:rPr>
                <w:rFonts w:hint="default" w:ascii="Times New Roman" w:hAnsi="Times New Roman" w:cs="Times New Roman"/>
                <w:b/>
                <w:bCs/>
                <w:color w:val="auto"/>
                <w:kern w:val="0"/>
                <w:sz w:val="36"/>
                <w:szCs w:val="36"/>
                <w:highlight w:val="none"/>
                <w:lang w:bidi="ar"/>
              </w:rPr>
              <w:t>项目绩效目标完成情况表</w:t>
            </w:r>
            <w:r>
              <w:rPr>
                <w:rFonts w:hint="default" w:ascii="Times New Roman" w:hAnsi="Times New Roman" w:cs="Times New Roman"/>
                <w:b/>
                <w:bCs/>
                <w:color w:val="auto"/>
                <w:kern w:val="0"/>
                <w:sz w:val="36"/>
                <w:szCs w:val="36"/>
                <w:highlight w:val="none"/>
                <w:lang w:bidi="ar"/>
              </w:rPr>
              <w:br w:type="textWrapping"/>
            </w:r>
            <w:r>
              <w:rPr>
                <w:rFonts w:hint="default" w:ascii="Times New Roman" w:hAnsi="Times New Roman" w:cs="Times New Roman"/>
                <w:color w:val="auto"/>
                <w:kern w:val="0"/>
                <w:sz w:val="36"/>
                <w:szCs w:val="36"/>
                <w:highlight w:val="none"/>
                <w:lang w:eastAsia="zh-CN" w:bidi="ar"/>
              </w:rPr>
              <w:t>（</w:t>
            </w:r>
            <w:r>
              <w:rPr>
                <w:rFonts w:hint="default" w:ascii="Times New Roman" w:hAnsi="Times New Roman" w:cs="Times New Roman"/>
                <w:color w:val="auto"/>
                <w:kern w:val="0"/>
                <w:sz w:val="36"/>
                <w:szCs w:val="36"/>
                <w:highlight w:val="none"/>
                <w:lang w:bidi="ar"/>
              </w:rPr>
              <w:t>20</w:t>
            </w:r>
            <w:r>
              <w:rPr>
                <w:rFonts w:hint="default" w:ascii="Times New Roman" w:hAnsi="Times New Roman" w:cs="Times New Roman"/>
                <w:color w:val="auto"/>
                <w:kern w:val="0"/>
                <w:sz w:val="36"/>
                <w:szCs w:val="36"/>
                <w:highlight w:val="none"/>
                <w:lang w:val="en-US" w:eastAsia="zh-CN" w:bidi="ar"/>
              </w:rPr>
              <w:t>20</w:t>
            </w:r>
            <w:r>
              <w:rPr>
                <w:rFonts w:hint="default" w:ascii="Times New Roman" w:hAnsi="Times New Roman" w:cs="Times New Roman"/>
                <w:color w:val="auto"/>
                <w:kern w:val="0"/>
                <w:sz w:val="36"/>
                <w:szCs w:val="36"/>
                <w:highlight w:val="none"/>
                <w:lang w:bidi="ar"/>
              </w:rPr>
              <w:t>年度</w:t>
            </w:r>
            <w:r>
              <w:rPr>
                <w:rFonts w:hint="default" w:ascii="Times New Roman" w:hAnsi="Times New Roman" w:cs="Times New Roman"/>
                <w:color w:val="auto"/>
                <w:kern w:val="0"/>
                <w:sz w:val="36"/>
                <w:szCs w:val="36"/>
                <w:highlight w:val="none"/>
                <w:lang w:eastAsia="zh-CN"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办公房租赁</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四川省</w:t>
            </w:r>
            <w:r>
              <w:rPr>
                <w:rFonts w:hint="default" w:ascii="Times New Roman" w:hAnsi="Times New Roman" w:eastAsia="仿宋_GB2312" w:cs="Times New Roman"/>
                <w:color w:val="auto"/>
                <w:sz w:val="24"/>
                <w:highlight w:val="none"/>
                <w:lang w:eastAsia="zh-CN"/>
              </w:rPr>
              <w:t>政府</w:t>
            </w:r>
            <w:r>
              <w:rPr>
                <w:rFonts w:hint="default" w:ascii="Times New Roman" w:hAnsi="Times New Roman" w:eastAsia="仿宋_GB2312" w:cs="Times New Roman"/>
                <w:color w:val="auto"/>
                <w:sz w:val="24"/>
                <w:highlight w:val="none"/>
              </w:rPr>
              <w:t>国有资产监督管理委员会</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570万元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570万元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570万元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570万元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color w:val="auto"/>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保障机关办公需要。</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保障机关办公需要。</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实际完成指标值(包含数字及文字描述)</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所有报告符合法律法规和国资委相关规定的要求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所有报告符合法律法规和国资委相关规定的要求</w:t>
            </w:r>
          </w:p>
        </w:tc>
      </w:tr>
      <w:tr>
        <w:tblPrEx>
          <w:tblCellMar>
            <w:top w:w="0" w:type="dxa"/>
            <w:left w:w="0" w:type="dxa"/>
            <w:bottom w:w="0" w:type="dxa"/>
            <w:right w:w="0" w:type="dxa"/>
          </w:tblCellMar>
        </w:tblPrEx>
        <w:trPr>
          <w:trHeight w:val="68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租用办公房面积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6370</w:t>
            </w:r>
            <w:r>
              <w:rPr>
                <w:rFonts w:hint="default" w:ascii="Times New Roman" w:hAnsi="Times New Roman" w:eastAsia="仿宋_GB2312" w:cs="Times New Roman"/>
                <w:color w:val="auto"/>
                <w:sz w:val="24"/>
                <w:highlight w:val="none"/>
                <w:lang w:eastAsia="zh-CN"/>
              </w:rPr>
              <w:t>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6370</w:t>
            </w:r>
            <w:r>
              <w:rPr>
                <w:rFonts w:hint="default" w:ascii="Times New Roman" w:hAnsi="Times New Roman" w:eastAsia="仿宋_GB2312" w:cs="Times New Roman"/>
                <w:color w:val="auto"/>
                <w:sz w:val="24"/>
                <w:highlight w:val="none"/>
                <w:lang w:eastAsia="zh-CN"/>
              </w:rPr>
              <w:t>平方米</w:t>
            </w:r>
          </w:p>
        </w:tc>
      </w:tr>
      <w:tr>
        <w:tblPrEx>
          <w:tblCellMar>
            <w:top w:w="0" w:type="dxa"/>
            <w:left w:w="0" w:type="dxa"/>
            <w:bottom w:w="0" w:type="dxa"/>
            <w:right w:w="0" w:type="dxa"/>
          </w:tblCellMar>
        </w:tblPrEx>
        <w:trPr>
          <w:trHeight w:val="751"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办公房屋维修率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r>
      <w:tr>
        <w:tblPrEx>
          <w:tblCellMar>
            <w:top w:w="0" w:type="dxa"/>
            <w:left w:w="0" w:type="dxa"/>
            <w:bottom w:w="0" w:type="dxa"/>
            <w:right w:w="0" w:type="dxa"/>
          </w:tblCellMar>
        </w:tblPrEx>
        <w:trPr>
          <w:trHeight w:val="87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default" w:ascii="Times New Roman" w:hAnsi="Times New Roman" w:eastAsia="仿宋_GB2312"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办公房屋租金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570</w:t>
            </w:r>
            <w:r>
              <w:rPr>
                <w:rFonts w:hint="default" w:ascii="Times New Roman" w:hAnsi="Times New Roman" w:eastAsia="仿宋_GB2312" w:cs="Times New Roman"/>
                <w:color w:val="auto"/>
                <w:sz w:val="24"/>
                <w:highlight w:val="none"/>
                <w:lang w:eastAsia="zh-CN"/>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570万元</w:t>
            </w:r>
          </w:p>
        </w:tc>
      </w:tr>
      <w:tr>
        <w:tblPrEx>
          <w:tblCellMar>
            <w:top w:w="0" w:type="dxa"/>
            <w:left w:w="0" w:type="dxa"/>
            <w:bottom w:w="0" w:type="dxa"/>
            <w:right w:w="0" w:type="dxa"/>
          </w:tblCellMar>
        </w:tblPrEx>
        <w:trPr>
          <w:trHeight w:val="113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单位运转的需要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满足职工对日常办公场所的需要，保障机关各项事物的顺利开展。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满足职工对日常办公场所的需要，保障机关各项事物的顺利开展。</w:t>
            </w:r>
          </w:p>
        </w:tc>
      </w:tr>
      <w:tr>
        <w:tblPrEx>
          <w:tblCellMar>
            <w:top w:w="0" w:type="dxa"/>
            <w:left w:w="0" w:type="dxa"/>
            <w:bottom w:w="0" w:type="dxa"/>
            <w:right w:w="0" w:type="dxa"/>
          </w:tblCellMar>
        </w:tblPrEx>
        <w:trPr>
          <w:trHeight w:val="902"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highlight w:val="none"/>
                <w:lang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职工满意度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职工对办公房的使用满意程度＞90%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职工对办公房的使用满意程度＞90%</w:t>
            </w:r>
          </w:p>
        </w:tc>
      </w:tr>
      <w:bookmarkEnd w:id="80"/>
    </w:tbl>
    <w:p>
      <w:pPr>
        <w:spacing w:line="580" w:lineRule="exact"/>
        <w:ind w:left="63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2.部门绩效评价结果。</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本部门按要求对20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年部门整体支出绩效评价情况开展自评，《202</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四川省政府国有资产监督管理委员会</w:t>
      </w:r>
      <w:r>
        <w:rPr>
          <w:rFonts w:hint="default" w:ascii="Times New Roman" w:hAnsi="Times New Roman" w:eastAsia="仿宋_GB2312" w:cs="Times New Roman"/>
          <w:color w:val="auto"/>
          <w:sz w:val="32"/>
          <w:szCs w:val="32"/>
          <w:highlight w:val="none"/>
        </w:rPr>
        <w:t>部门整体支出绩效评价报告》见附件（附件1）。</w:t>
      </w:r>
    </w:p>
    <w:p>
      <w:pPr>
        <w:spacing w:line="580" w:lineRule="exact"/>
        <w:ind w:firstLine="640" w:firstLineChars="200"/>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color w:val="auto"/>
          <w:sz w:val="32"/>
          <w:szCs w:val="32"/>
          <w:highlight w:val="none"/>
        </w:rPr>
        <w:t>本部门自行组织对</w:t>
      </w:r>
      <w:r>
        <w:rPr>
          <w:rFonts w:hint="default" w:ascii="Times New Roman" w:hAnsi="Times New Roman" w:eastAsia="仿宋_GB2312" w:cs="Times New Roman"/>
          <w:color w:val="auto"/>
          <w:sz w:val="32"/>
          <w:szCs w:val="32"/>
          <w:highlight w:val="none"/>
          <w:lang w:val="en-US" w:eastAsia="zh-CN"/>
        </w:rPr>
        <w:t>省级国有企业改革发展资金</w:t>
      </w:r>
      <w:r>
        <w:rPr>
          <w:rFonts w:hint="default" w:ascii="Times New Roman" w:hAnsi="Times New Roman" w:eastAsia="仿宋_GB2312" w:cs="Times New Roman"/>
          <w:color w:val="auto"/>
          <w:sz w:val="32"/>
          <w:szCs w:val="32"/>
          <w:highlight w:val="none"/>
        </w:rPr>
        <w:t>专项项目、</w:t>
      </w:r>
      <w:r>
        <w:rPr>
          <w:rFonts w:hint="default" w:ascii="Times New Roman" w:hAnsi="Times New Roman" w:eastAsia="仿宋_GB2312" w:cs="Times New Roman"/>
          <w:color w:val="auto"/>
          <w:sz w:val="32"/>
          <w:szCs w:val="32"/>
          <w:highlight w:val="none"/>
          <w:lang w:val="en-US" w:eastAsia="zh-CN"/>
        </w:rPr>
        <w:t>省属企业年度财务审计</w:t>
      </w:r>
      <w:r>
        <w:rPr>
          <w:rFonts w:hint="default" w:ascii="Times New Roman" w:hAnsi="Times New Roman" w:eastAsia="仿宋_GB2312" w:cs="Times New Roman"/>
          <w:color w:val="auto"/>
          <w:sz w:val="32"/>
          <w:szCs w:val="32"/>
          <w:highlight w:val="none"/>
        </w:rPr>
        <w:t>部门预算项目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信息化建设及运行维护部门预算项目</w:t>
      </w:r>
      <w:r>
        <w:rPr>
          <w:rFonts w:hint="default" w:ascii="Times New Roman" w:hAnsi="Times New Roman" w:eastAsia="仿宋_GB2312" w:cs="Times New Roman"/>
          <w:color w:val="auto"/>
          <w:sz w:val="32"/>
          <w:szCs w:val="32"/>
          <w:highlight w:val="none"/>
        </w:rPr>
        <w:t>开展了绩效评价，《202</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省级国有企业改革发展资金</w:t>
      </w:r>
      <w:r>
        <w:rPr>
          <w:rFonts w:hint="default" w:ascii="Times New Roman" w:hAnsi="Times New Roman" w:eastAsia="仿宋_GB2312" w:cs="Times New Roman"/>
          <w:color w:val="auto"/>
          <w:sz w:val="32"/>
          <w:szCs w:val="32"/>
          <w:highlight w:val="none"/>
        </w:rPr>
        <w:t>项目支出绩效自评报告》（附件2）。《202</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年部门预算项目支出绩效自评报告》（附件3）</w:t>
      </w:r>
      <w:r>
        <w:rPr>
          <w:rFonts w:hint="default" w:ascii="Times New Roman" w:hAnsi="Times New Roman" w:eastAsia="仿宋_GB2312" w:cs="Times New Roman"/>
          <w:color w:val="auto"/>
          <w:sz w:val="32"/>
          <w:szCs w:val="32"/>
          <w:highlight w:val="none"/>
          <w:lang w:eastAsia="zh-CN"/>
        </w:rPr>
        <w:t>。</w:t>
      </w:r>
    </w:p>
    <w:p>
      <w:pPr>
        <w:widowControl/>
        <w:spacing w:line="570" w:lineRule="exact"/>
        <w:jc w:val="center"/>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FF0000"/>
          <w:sz w:val="32"/>
          <w:szCs w:val="32"/>
        </w:rPr>
        <w:br w:type="page"/>
      </w:r>
      <w:bookmarkStart w:id="63" w:name="_Toc15396613"/>
      <w:bookmarkStart w:id="64" w:name="_Toc15377225"/>
    </w:p>
    <w:p>
      <w:pPr>
        <w:widowControl/>
        <w:spacing w:line="570" w:lineRule="exact"/>
        <w:jc w:val="center"/>
        <w:rPr>
          <w:rStyle w:val="29"/>
          <w:rFonts w:hint="default" w:ascii="Times New Roman" w:hAnsi="Times New Roman" w:eastAsia="方正小标宋简体" w:cs="Times New Roman"/>
        </w:rPr>
      </w:pPr>
      <w:r>
        <w:rPr>
          <w:rFonts w:hint="default" w:ascii="Times New Roman" w:hAnsi="Times New Roman" w:eastAsia="方正小标宋简体" w:cs="Times New Roman"/>
          <w:b/>
          <w:bCs/>
          <w:color w:val="000000"/>
          <w:sz w:val="44"/>
          <w:szCs w:val="44"/>
        </w:rPr>
        <w:t>名</w:t>
      </w:r>
      <w:r>
        <w:rPr>
          <w:rStyle w:val="29"/>
          <w:rFonts w:hint="default" w:ascii="Times New Roman" w:hAnsi="Times New Roman" w:eastAsia="方正小标宋简体" w:cs="Times New Roman"/>
        </w:rPr>
        <w:t>词解释</w:t>
      </w:r>
      <w:bookmarkEnd w:id="63"/>
      <w:bookmarkEnd w:id="64"/>
    </w:p>
    <w:p>
      <w:pPr>
        <w:spacing w:line="570" w:lineRule="exact"/>
        <w:jc w:val="left"/>
        <w:rPr>
          <w:rFonts w:hint="default" w:ascii="Times New Roman" w:hAnsi="Times New Roman" w:cs="Times New Roman"/>
          <w:b/>
          <w:color w:val="000000"/>
          <w:sz w:val="44"/>
          <w:szCs w:val="44"/>
        </w:rPr>
      </w:pPr>
    </w:p>
    <w:p>
      <w:pPr>
        <w:spacing w:line="57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1.财政拨款收入：指单位从同级财政部门取得的财政预算资金。</w:t>
      </w:r>
    </w:p>
    <w:p>
      <w:pPr>
        <w:spacing w:line="57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2.其他收入：指单位取得的除上述收入以外的各项收入。主要是利息收入。 </w:t>
      </w:r>
    </w:p>
    <w:p>
      <w:pPr>
        <w:spacing w:line="57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3.一般公共服务（类）其他一般公共服务支出（款）其他一般公共服务支出（项）：指主要用于保障机关事业单位正常运转，支持各机关单位履行职能，保障机关部门的项目支出。</w:t>
      </w:r>
    </w:p>
    <w:p>
      <w:pPr>
        <w:spacing w:line="57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4.教育（类）进修及培训（款）培训支出（项）：指部门安排的用于培训的支出。</w:t>
      </w:r>
    </w:p>
    <w:p>
      <w:pPr>
        <w:spacing w:line="57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社会保障和就业（类）行政事业单位离退休（款）事业单位离退休（项）：指事业单位退休费支出；未归口管理的行政单位离退休（项）：指行政单位退休费支出；机关事业单位基本养老保险缴费支出（项）：指机关事业单位在职职工缴纳养老保险支出；机关事业单位职业年金缴费支出（项）：指机关事业单位在职职工缴纳职业年金支出；抚恤（款）死亡抚恤（项）：指国家对国家机关工作人员，在其牺牲、病故时，给予家属的一种福利补助性开支；其他社会保障和就业支出（款）其他社会保障和就业支出（项）：指其他用于社会保障和就业方面的支出。</w:t>
      </w:r>
    </w:p>
    <w:p>
      <w:pPr>
        <w:spacing w:line="57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6.卫生健康（类）行政事业单位医疗（款）行政单位医疗（项），事业单位医疗（项），公务员医疗补助（项）：指行政事业单位在职职工、离退休人员的医疗保险费支出。</w:t>
      </w:r>
    </w:p>
    <w:p>
      <w:pPr>
        <w:spacing w:line="57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7.资源勘探信息等（类）国有资产监管（款）行政运行（项）一般行政管理事务（项）机关服务（项）其他国有资产监管（项）：指为保障机关正常运行所开支的“三公”经费、差旅费、办公用房租赁费、会议费、维修维护费、物业管理费等支出。</w:t>
      </w:r>
    </w:p>
    <w:p>
      <w:pPr>
        <w:spacing w:line="57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8.住房保障（类）住房改革支出（款）住房公积金（项）：指按规定比例为职工缴纳的住房公积金；购房补贴（项）：指按房改政策规定，为单位符合条件职工发放的用于购买住房的补贴。</w:t>
      </w:r>
    </w:p>
    <w:p>
      <w:pPr>
        <w:spacing w:line="57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9.灾害防治及应急管理支出（类）应急管理事务（款）其他应急管理支出（项）：指除灾害风险防治、安全监管、安全生产基础、应急救援等项目外其他用于应急管理事务的支出。</w:t>
      </w:r>
    </w:p>
    <w:p>
      <w:pPr>
        <w:spacing w:line="57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10.其他支出（类）其他支出（款）其他支出（项）：指不能划分到功能科目的其他政府支出。</w:t>
      </w:r>
    </w:p>
    <w:p>
      <w:pPr>
        <w:spacing w:line="57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11.基本支出：指为保障机构正常运转、完成日常工作任务而发生的人员支出和公用支出。</w:t>
      </w:r>
    </w:p>
    <w:p>
      <w:pPr>
        <w:spacing w:line="57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12.项目支出：指在基本支出之外为完成特定行政任务和事业发展目标所发生的支出。 </w:t>
      </w:r>
    </w:p>
    <w:p>
      <w:pPr>
        <w:spacing w:line="57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7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70" w:lineRule="exact"/>
        <w:jc w:val="center"/>
        <w:outlineLvl w:val="0"/>
        <w:rPr>
          <w:rStyle w:val="29"/>
          <w:rFonts w:hint="default" w:ascii="Times New Roman" w:hAnsi="Times New Roman" w:eastAsia="黑体" w:cs="Times New Roman"/>
          <w:b w:val="0"/>
          <w:color w:val="auto"/>
        </w:rPr>
      </w:pPr>
      <w:bookmarkStart w:id="65" w:name="_Toc15377226"/>
      <w:r>
        <w:rPr>
          <w:rFonts w:hint="default" w:ascii="Times New Roman" w:hAnsi="Times New Roman" w:cs="Times New Roman"/>
          <w:b/>
          <w:color w:val="000000"/>
          <w:sz w:val="44"/>
          <w:szCs w:val="44"/>
        </w:rPr>
        <w:br w:type="page"/>
      </w:r>
      <w:bookmarkStart w:id="66" w:name="_Toc15396614"/>
      <w:r>
        <w:rPr>
          <w:rFonts w:hint="default" w:ascii="Times New Roman" w:hAnsi="Times New Roman" w:eastAsia="黑体" w:cs="Times New Roman"/>
          <w:color w:val="auto"/>
          <w:sz w:val="44"/>
          <w:szCs w:val="44"/>
        </w:rPr>
        <w:t>第</w:t>
      </w:r>
      <w:r>
        <w:rPr>
          <w:rStyle w:val="29"/>
          <w:rFonts w:hint="default" w:ascii="Times New Roman" w:hAnsi="Times New Roman" w:eastAsia="黑体" w:cs="Times New Roman"/>
          <w:b w:val="0"/>
          <w:color w:val="auto"/>
        </w:rPr>
        <w:t>四部分 附件</w:t>
      </w:r>
      <w:bookmarkEnd w:id="66"/>
    </w:p>
    <w:p>
      <w:pPr>
        <w:spacing w:line="570" w:lineRule="exact"/>
        <w:jc w:val="left"/>
        <w:outlineLvl w:val="0"/>
        <w:rPr>
          <w:rFonts w:hint="default" w:ascii="Times New Roman" w:hAnsi="Times New Roman" w:eastAsia="方正小标宋简体" w:cs="Times New Roman"/>
          <w:color w:val="auto"/>
          <w:sz w:val="32"/>
          <w:szCs w:val="32"/>
        </w:rPr>
      </w:pPr>
      <w:r>
        <w:rPr>
          <w:rFonts w:hint="default" w:ascii="Times New Roman" w:hAnsi="Times New Roman" w:eastAsia="黑体" w:cs="Times New Roman"/>
          <w:color w:val="auto"/>
          <w:sz w:val="32"/>
          <w:szCs w:val="32"/>
        </w:rPr>
        <w:t>附件1</w:t>
      </w:r>
    </w:p>
    <w:p>
      <w:pPr>
        <w:pStyle w:val="15"/>
        <w:keepNext w:val="0"/>
        <w:keepLines w:val="0"/>
        <w:widowControl w:val="0"/>
        <w:suppressLineNumbers w:val="0"/>
        <w:shd w:val="clear" w:fill="FFFFFF"/>
        <w:autoSpaceDE w:val="0"/>
        <w:autoSpaceDN/>
        <w:spacing w:before="0" w:beforeAutospacing="0" w:after="0" w:afterAutospacing="0" w:line="572" w:lineRule="exact"/>
        <w:ind w:left="0" w:right="0"/>
        <w:jc w:val="center"/>
        <w:rPr>
          <w:rFonts w:hint="default" w:ascii="Times New Roman" w:hAnsi="Times New Roman" w:eastAsia="方正小标宋简体" w:cs="Times New Roman"/>
          <w:b/>
          <w:bCs/>
          <w:color w:val="000000"/>
          <w:kern w:val="0"/>
          <w:sz w:val="44"/>
          <w:szCs w:val="44"/>
          <w:shd w:val="clear" w:fill="FFFFFF"/>
        </w:rPr>
      </w:pPr>
    </w:p>
    <w:p>
      <w:pPr>
        <w:pStyle w:val="15"/>
        <w:keepNext w:val="0"/>
        <w:keepLines w:val="0"/>
        <w:widowControl w:val="0"/>
        <w:suppressLineNumbers w:val="0"/>
        <w:shd w:val="clear" w:fill="FFFFFF"/>
        <w:autoSpaceDE w:val="0"/>
        <w:autoSpaceDN/>
        <w:spacing w:before="0" w:beforeAutospacing="0" w:after="0" w:afterAutospacing="0" w:line="572" w:lineRule="exact"/>
        <w:ind w:left="0" w:right="0"/>
        <w:jc w:val="center"/>
        <w:rPr>
          <w:rFonts w:hint="default" w:ascii="Times New Roman" w:hAnsi="Times New Roman" w:eastAsia="方正小标宋简体" w:cs="Times New Roman"/>
          <w:b/>
          <w:bCs/>
          <w:color w:val="000000"/>
          <w:kern w:val="0"/>
          <w:sz w:val="44"/>
          <w:szCs w:val="44"/>
          <w:shd w:val="clear" w:fill="FFFFFF"/>
        </w:rPr>
      </w:pPr>
      <w:r>
        <w:rPr>
          <w:rFonts w:hint="default" w:ascii="Times New Roman" w:hAnsi="Times New Roman" w:eastAsia="方正小标宋简体" w:cs="Times New Roman"/>
          <w:b/>
          <w:bCs/>
          <w:color w:val="000000"/>
          <w:kern w:val="0"/>
          <w:sz w:val="44"/>
          <w:szCs w:val="44"/>
          <w:shd w:val="clear" w:fill="FFFFFF"/>
          <w:lang w:val="en-US" w:eastAsia="zh-CN" w:bidi="ar"/>
        </w:rPr>
        <w:t>四川省政府国有资产监督管理委员会</w:t>
      </w:r>
    </w:p>
    <w:p>
      <w:pPr>
        <w:keepNext w:val="0"/>
        <w:keepLines w:val="0"/>
        <w:widowControl/>
        <w:suppressLineNumbers w:val="0"/>
        <w:autoSpaceDE w:val="0"/>
        <w:autoSpaceDN/>
        <w:spacing w:before="0" w:beforeAutospacing="0" w:after="0" w:afterAutospacing="0" w:line="572" w:lineRule="exact"/>
        <w:ind w:left="0" w:right="0"/>
        <w:contextualSpacing/>
        <w:jc w:val="center"/>
        <w:rPr>
          <w:rFonts w:hint="default" w:ascii="Times New Roman" w:hAnsi="Times New Roman" w:eastAsia="方正小标宋简体" w:cs="Times New Roman"/>
          <w:b/>
          <w:bCs/>
          <w:color w:val="000000"/>
          <w:kern w:val="0"/>
          <w:sz w:val="44"/>
          <w:szCs w:val="44"/>
        </w:rPr>
      </w:pPr>
      <w:r>
        <w:rPr>
          <w:rFonts w:hint="default" w:ascii="Times New Roman" w:hAnsi="Times New Roman" w:eastAsia="方正小标宋简体" w:cs="Times New Roman"/>
          <w:b/>
          <w:bCs/>
          <w:color w:val="000000"/>
          <w:kern w:val="0"/>
          <w:sz w:val="44"/>
          <w:szCs w:val="44"/>
          <w:lang w:val="en-US" w:eastAsia="zh-CN" w:bidi="ar"/>
        </w:rPr>
        <w:t>2020年度省级部门整体支出绩效自评报告</w:t>
      </w:r>
    </w:p>
    <w:p>
      <w:pPr>
        <w:keepNext w:val="0"/>
        <w:keepLines w:val="0"/>
        <w:widowControl/>
        <w:suppressLineNumbers w:val="0"/>
        <w:adjustRightInd w:val="0"/>
        <w:snapToGrid w:val="0"/>
        <w:spacing w:before="0" w:beforeAutospacing="0" w:after="0" w:afterAutospacing="0" w:line="580" w:lineRule="exact"/>
        <w:ind w:left="0" w:right="0" w:firstLine="480" w:firstLineChars="200"/>
        <w:contextualSpacing/>
        <w:jc w:val="both"/>
        <w:rPr>
          <w:rFonts w:hint="default" w:ascii="Times New Roman" w:hAnsi="Times New Roman" w:eastAsia="黑体" w:cs="Times New Roman"/>
          <w:color w:val="000000"/>
          <w:kern w:val="0"/>
          <w:sz w:val="24"/>
          <w:szCs w:val="24"/>
          <w:shd w:val="clear" w:fill="FFFFFF"/>
        </w:rPr>
      </w:pPr>
      <w:r>
        <w:rPr>
          <w:rFonts w:hint="default" w:ascii="Times New Roman" w:hAnsi="Times New Roman" w:eastAsia="黑体" w:cs="Times New Roman"/>
          <w:color w:val="000000"/>
          <w:kern w:val="0"/>
          <w:sz w:val="24"/>
          <w:szCs w:val="24"/>
          <w:shd w:val="clear" w:fill="FFFFFF"/>
          <w:lang w:val="en-US" w:eastAsia="zh-CN" w:bidi="ar"/>
        </w:rPr>
        <w:t xml:space="preserve"> </w:t>
      </w:r>
    </w:p>
    <w:p>
      <w:pPr>
        <w:keepNext w:val="0"/>
        <w:keepLines w:val="0"/>
        <w:widowControl/>
        <w:suppressLineNumbers w:val="0"/>
        <w:adjustRightInd w:val="0"/>
        <w:snapToGrid w:val="0"/>
        <w:spacing w:before="0" w:beforeAutospacing="0" w:after="0" w:afterAutospacing="0" w:line="580" w:lineRule="exact"/>
        <w:ind w:left="0" w:right="0" w:firstLine="640" w:firstLineChars="200"/>
        <w:contextualSpacing/>
        <w:jc w:val="both"/>
        <w:rPr>
          <w:rFonts w:hint="default" w:ascii="Times New Roman" w:hAnsi="Times New Roman" w:eastAsia="黑体" w:cs="Times New Roman"/>
          <w:color w:val="000000"/>
          <w:kern w:val="0"/>
          <w:sz w:val="32"/>
          <w:szCs w:val="32"/>
          <w:shd w:val="clear" w:fill="FFFFFF"/>
        </w:rPr>
      </w:pPr>
      <w:r>
        <w:rPr>
          <w:rFonts w:hint="default" w:ascii="Times New Roman" w:hAnsi="Times New Roman" w:eastAsia="黑体" w:cs="Times New Roman"/>
          <w:color w:val="000000"/>
          <w:kern w:val="0"/>
          <w:sz w:val="32"/>
          <w:szCs w:val="32"/>
          <w:shd w:val="clear" w:fill="FFFFFF"/>
          <w:lang w:val="en-US" w:eastAsia="zh-CN" w:bidi="ar"/>
        </w:rPr>
        <w:t>一、部门（单位）概况</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楷体_GB2312" w:cs="Times New Roman"/>
          <w:b/>
          <w:bCs/>
          <w:color w:val="000000"/>
          <w:kern w:val="0"/>
          <w:sz w:val="32"/>
          <w:szCs w:val="32"/>
          <w:shd w:val="clear" w:fill="FFFFFF"/>
          <w:lang w:val="en-US" w:eastAsia="zh-CN" w:bidi="ar"/>
        </w:rPr>
        <w:t>（一）机构组成。</w:t>
      </w:r>
      <w:r>
        <w:rPr>
          <w:rFonts w:hint="default" w:ascii="Times New Roman" w:hAnsi="Times New Roman" w:eastAsia="仿宋_GB2312" w:cs="Times New Roman"/>
          <w:b w:val="0"/>
          <w:bCs w:val="0"/>
          <w:kern w:val="2"/>
          <w:sz w:val="32"/>
          <w:szCs w:val="32"/>
          <w:lang w:val="en-US" w:eastAsia="zh-CN" w:bidi="ar"/>
        </w:rPr>
        <w:t>省国资委下属二级预算单位2个，其中行政单位1个，省国资委机关本级；公益一类事业单位1个，机关服务中心。</w:t>
      </w:r>
    </w:p>
    <w:p>
      <w:pPr>
        <w:keepNext w:val="0"/>
        <w:keepLines w:val="0"/>
        <w:widowControl/>
        <w:suppressLineNumbers w:val="0"/>
        <w:adjustRightInd w:val="0"/>
        <w:snapToGrid w:val="0"/>
        <w:spacing w:before="0" w:beforeAutospacing="0" w:after="0" w:afterAutospacing="0" w:line="580" w:lineRule="exact"/>
        <w:ind w:left="0" w:right="0" w:firstLine="642" w:firstLineChars="200"/>
        <w:contextualSpacing/>
        <w:jc w:val="both"/>
        <w:rPr>
          <w:rFonts w:hint="default" w:ascii="Times New Roman" w:hAnsi="Times New Roman" w:eastAsia="仿宋_GB2312" w:cs="Times New Roman"/>
          <w:color w:val="000000"/>
          <w:kern w:val="0"/>
          <w:sz w:val="32"/>
          <w:szCs w:val="32"/>
          <w:shd w:val="clear" w:fill="FFFFFF"/>
        </w:rPr>
      </w:pPr>
      <w:r>
        <w:rPr>
          <w:rFonts w:hint="default" w:ascii="Times New Roman" w:hAnsi="Times New Roman" w:eastAsia="楷体_GB2312" w:cs="Times New Roman"/>
          <w:b/>
          <w:bCs/>
          <w:color w:val="000000"/>
          <w:kern w:val="0"/>
          <w:sz w:val="32"/>
          <w:szCs w:val="32"/>
          <w:shd w:val="clear" w:fill="FFFFFF"/>
          <w:lang w:val="en-US" w:eastAsia="zh-CN" w:bidi="ar"/>
        </w:rPr>
        <w:t>（二）机构职能。</w:t>
      </w:r>
      <w:r>
        <w:rPr>
          <w:rFonts w:hint="default" w:ascii="Times New Roman" w:hAnsi="Times New Roman" w:eastAsia="仿宋_GB2312" w:cs="Times New Roman"/>
          <w:b w:val="0"/>
          <w:bCs w:val="0"/>
          <w:kern w:val="2"/>
          <w:sz w:val="32"/>
          <w:szCs w:val="32"/>
          <w:lang w:val="en-US" w:eastAsia="zh-CN" w:bidi="ar"/>
        </w:rPr>
        <w:t>四川省国资委基本职责为根据省政府授权，依照《中华人民共和国公司法》《中华人民共和国企业国有资产法》等法律和行政法规履行出资人职责，监管省属企业的国有资产，加强国有资产的管理工作。研究拟订国有资产管理的地方性法规、规章草案，制定或拟订有关制度，依法对市（州）国有资产管理进行指导。承担监督所监管企业国有资产保值增值的责任，建立和完善国有资产保值增值指标体系，制定考核标准，通过统计、稽核对所监管企业国有资产的保值增值情况进行监管，负责所监管企业工资分配管理工作，制定所监管企业负责人收入分配政策并组织实施。指导推进国有企业改革和重组，推进国有企业的现代企业制度建设，完善公司治理结构，推动国有经济布局和结构的战略性调整。</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仿宋_GB2312" w:cs="Times New Roman"/>
          <w:b/>
          <w:bCs/>
          <w:kern w:val="2"/>
          <w:sz w:val="32"/>
          <w:szCs w:val="32"/>
        </w:rPr>
      </w:pPr>
      <w:r>
        <w:rPr>
          <w:rFonts w:hint="default" w:ascii="Times New Roman" w:hAnsi="Times New Roman" w:eastAsia="楷体_GB2312" w:cs="Times New Roman"/>
          <w:b/>
          <w:bCs/>
          <w:color w:val="000000"/>
          <w:kern w:val="0"/>
          <w:sz w:val="32"/>
          <w:szCs w:val="32"/>
          <w:shd w:val="clear" w:fill="FFFFFF"/>
          <w:lang w:val="en-US" w:eastAsia="zh-CN" w:bidi="ar"/>
        </w:rPr>
        <w:t>（三）人员概况。</w:t>
      </w:r>
      <w:r>
        <w:rPr>
          <w:rFonts w:hint="default" w:ascii="Times New Roman" w:hAnsi="Times New Roman" w:eastAsia="仿宋_GB2312" w:cs="Times New Roman"/>
          <w:b w:val="0"/>
          <w:bCs w:val="0"/>
          <w:kern w:val="2"/>
          <w:sz w:val="32"/>
          <w:szCs w:val="32"/>
          <w:lang w:val="en-US" w:eastAsia="zh-CN" w:bidi="ar"/>
        </w:rPr>
        <w:t>2020年末实有在职人员126人，其中：行政人员115人，事业人员11人。</w:t>
      </w:r>
    </w:p>
    <w:p>
      <w:pPr>
        <w:keepNext w:val="0"/>
        <w:keepLines w:val="0"/>
        <w:widowControl/>
        <w:suppressLineNumbers w:val="0"/>
        <w:adjustRightInd w:val="0"/>
        <w:snapToGrid w:val="0"/>
        <w:spacing w:before="0" w:beforeAutospacing="0" w:after="0" w:afterAutospacing="0" w:line="580" w:lineRule="exact"/>
        <w:ind w:left="0" w:right="0" w:firstLine="640" w:firstLineChars="200"/>
        <w:contextualSpacing/>
        <w:jc w:val="both"/>
        <w:rPr>
          <w:rFonts w:hint="default" w:ascii="Times New Roman" w:hAnsi="Times New Roman" w:eastAsia="黑体" w:cs="Times New Roman"/>
          <w:color w:val="000000"/>
          <w:kern w:val="0"/>
          <w:sz w:val="32"/>
          <w:szCs w:val="32"/>
          <w:shd w:val="clear" w:fill="FFFFFF"/>
        </w:rPr>
      </w:pPr>
      <w:r>
        <w:rPr>
          <w:rFonts w:hint="default" w:ascii="Times New Roman" w:hAnsi="Times New Roman" w:eastAsia="黑体" w:cs="Times New Roman"/>
          <w:color w:val="000000"/>
          <w:kern w:val="0"/>
          <w:sz w:val="32"/>
          <w:szCs w:val="32"/>
          <w:shd w:val="clear" w:fill="FFFFFF"/>
          <w:lang w:val="en-US" w:eastAsia="zh-CN" w:bidi="ar"/>
        </w:rPr>
        <w:t>二、部门财政资金收支情况</w:t>
      </w:r>
    </w:p>
    <w:p>
      <w:pPr>
        <w:keepNext w:val="0"/>
        <w:keepLines w:val="0"/>
        <w:widowControl/>
        <w:suppressLineNumbers w:val="0"/>
        <w:adjustRightInd w:val="0"/>
        <w:snapToGrid w:val="0"/>
        <w:spacing w:before="0" w:beforeAutospacing="0" w:after="0" w:afterAutospacing="0" w:line="580" w:lineRule="exact"/>
        <w:ind w:left="0" w:right="0" w:firstLine="642" w:firstLineChars="200"/>
        <w:contextualSpacing/>
        <w:jc w:val="both"/>
        <w:rPr>
          <w:rFonts w:hint="default" w:ascii="Times New Roman" w:hAnsi="Times New Roman" w:eastAsia="仿宋_GB2312" w:cs="Times New Roman"/>
          <w:color w:val="000000"/>
          <w:kern w:val="0"/>
          <w:sz w:val="32"/>
          <w:szCs w:val="32"/>
          <w:shd w:val="clear" w:fill="FFFFFF"/>
        </w:rPr>
      </w:pPr>
      <w:r>
        <w:rPr>
          <w:rFonts w:hint="default" w:ascii="Times New Roman" w:hAnsi="Times New Roman" w:eastAsia="楷体_GB2312" w:cs="Times New Roman"/>
          <w:b/>
          <w:bCs/>
          <w:color w:val="000000"/>
          <w:kern w:val="0"/>
          <w:sz w:val="32"/>
          <w:szCs w:val="32"/>
          <w:shd w:val="clear" w:fill="FFFFFF"/>
          <w:lang w:val="en-US" w:eastAsia="zh-CN" w:bidi="ar"/>
        </w:rPr>
        <w:t>（一）部门财政资金收入情况。</w:t>
      </w:r>
      <w:r>
        <w:rPr>
          <w:rFonts w:hint="default" w:ascii="Times New Roman" w:hAnsi="Times New Roman" w:eastAsia="仿宋_GB2312" w:cs="Times New Roman"/>
          <w:color w:val="000000"/>
          <w:kern w:val="0"/>
          <w:sz w:val="32"/>
          <w:szCs w:val="32"/>
          <w:shd w:val="clear" w:fill="FFFFFF"/>
          <w:lang w:val="en-US" w:eastAsia="zh-CN" w:bidi="ar"/>
        </w:rPr>
        <w:t>2020年本部门财政资金收入9293.44万元，其中年初预算数6556.87万元，年中调整预算2736.57万元。收入年初预算较上年减少1353.61万元，下降17.11%，减少的主要原因是坚持过紧日子，努力压减一般性支出预算规模。办公费、印刷费、差旅费等公用支出和转拨企业离退休人员生活补助减少，2020年未安排设备购置经费、困难职工帮扶经费、送温暖经费、西博会参展项目。</w:t>
      </w:r>
    </w:p>
    <w:p>
      <w:pPr>
        <w:keepNext w:val="0"/>
        <w:keepLines w:val="0"/>
        <w:widowControl/>
        <w:suppressLineNumbers w:val="0"/>
        <w:adjustRightInd w:val="0"/>
        <w:snapToGrid w:val="0"/>
        <w:spacing w:before="0" w:beforeAutospacing="0" w:after="0" w:afterAutospacing="0" w:line="580" w:lineRule="exact"/>
        <w:ind w:left="0" w:right="0" w:firstLine="642" w:firstLineChars="200"/>
        <w:contextualSpacing/>
        <w:jc w:val="both"/>
        <w:rPr>
          <w:rFonts w:hint="default" w:ascii="Times New Roman" w:hAnsi="Times New Roman" w:eastAsia="仿宋_GB2312" w:cs="Times New Roman"/>
          <w:color w:val="000000"/>
          <w:kern w:val="0"/>
          <w:sz w:val="32"/>
          <w:szCs w:val="32"/>
          <w:shd w:val="clear" w:fill="FFFFFF"/>
        </w:rPr>
      </w:pPr>
      <w:r>
        <w:rPr>
          <w:rFonts w:hint="default" w:ascii="Times New Roman" w:hAnsi="Times New Roman" w:eastAsia="楷体_GB2312" w:cs="Times New Roman"/>
          <w:b/>
          <w:bCs/>
          <w:color w:val="000000"/>
          <w:kern w:val="0"/>
          <w:sz w:val="32"/>
          <w:szCs w:val="32"/>
          <w:shd w:val="clear" w:fill="FFFFFF"/>
          <w:lang w:val="en-US" w:eastAsia="zh-CN" w:bidi="ar"/>
        </w:rPr>
        <w:t>（二）部门财政资金支出情况。</w:t>
      </w:r>
      <w:r>
        <w:rPr>
          <w:rFonts w:hint="default" w:ascii="Times New Roman" w:hAnsi="Times New Roman" w:eastAsia="仿宋_GB2312" w:cs="Times New Roman"/>
          <w:color w:val="000000"/>
          <w:kern w:val="0"/>
          <w:sz w:val="32"/>
          <w:szCs w:val="32"/>
          <w:shd w:val="clear" w:fill="FFFFFF"/>
          <w:lang w:val="en-US" w:eastAsia="zh-CN" w:bidi="ar"/>
        </w:rPr>
        <w:t>2020年本部门财政资金支出8976.53万元，其中基本支出5149.75万元（人员支出4179.3万元，主要用于转拨企业对个人和家庭的补助、部门在职职工工资、社保、绩效奖金等；公用支出970.45万元，主要用于在职职工外出参加培训、公务交通、日常办公、水、电、气、邮电、报刊、公车运行维护、公务接待、会议、差旅、物业管理、维修（护）、培训等费用）。项目支出3826.78万元，主要用于省属企业年度财务审计、国资监管工作劳务费、办公用房租赁、纪委办案巡察工作、信息化建设运行、国资国企宣传工作、四川省“十四五”国资国企发展规划编制、四川省科技计划项目专项资金等经费支出。</w:t>
      </w:r>
    </w:p>
    <w:p>
      <w:pPr>
        <w:keepNext w:val="0"/>
        <w:keepLines w:val="0"/>
        <w:widowControl/>
        <w:suppressLineNumbers w:val="0"/>
        <w:adjustRightInd w:val="0"/>
        <w:snapToGrid w:val="0"/>
        <w:spacing w:before="0" w:beforeAutospacing="0" w:after="0" w:afterAutospacing="0" w:line="580" w:lineRule="exact"/>
        <w:ind w:left="0" w:right="0" w:firstLine="640" w:firstLineChars="200"/>
        <w:contextualSpacing/>
        <w:jc w:val="both"/>
        <w:rPr>
          <w:rFonts w:hint="default" w:ascii="Times New Roman" w:hAnsi="Times New Roman" w:eastAsia="黑体" w:cs="Times New Roman"/>
          <w:color w:val="000000"/>
          <w:kern w:val="0"/>
          <w:sz w:val="32"/>
          <w:szCs w:val="32"/>
          <w:shd w:val="clear" w:fill="FFFFFF"/>
        </w:rPr>
      </w:pPr>
      <w:r>
        <w:rPr>
          <w:rFonts w:hint="default" w:ascii="Times New Roman" w:hAnsi="Times New Roman" w:eastAsia="黑体" w:cs="Times New Roman"/>
          <w:color w:val="000000"/>
          <w:kern w:val="0"/>
          <w:sz w:val="32"/>
          <w:szCs w:val="32"/>
          <w:shd w:val="clear" w:fill="FFFFFF"/>
          <w:lang w:val="en-US" w:eastAsia="zh-CN" w:bidi="ar"/>
        </w:rPr>
        <w:t>三、部门整体预算绩效管理情况</w:t>
      </w:r>
    </w:p>
    <w:p>
      <w:pPr>
        <w:keepNext w:val="0"/>
        <w:keepLines w:val="0"/>
        <w:widowControl/>
        <w:suppressLineNumbers w:val="0"/>
        <w:adjustRightInd w:val="0"/>
        <w:snapToGrid w:val="0"/>
        <w:spacing w:before="0" w:beforeAutospacing="0" w:after="0" w:afterAutospacing="0" w:line="580" w:lineRule="exact"/>
        <w:ind w:left="0" w:right="0" w:firstLine="642" w:firstLineChars="200"/>
        <w:contextualSpacing/>
        <w:jc w:val="both"/>
        <w:rPr>
          <w:rFonts w:hint="default" w:ascii="Times New Roman" w:hAnsi="Times New Roman" w:eastAsia="楷体_GB2312" w:cs="Times New Roman"/>
          <w:b/>
          <w:bCs/>
          <w:color w:val="000000"/>
          <w:kern w:val="0"/>
          <w:sz w:val="32"/>
          <w:szCs w:val="32"/>
          <w:shd w:val="clear" w:fill="FFFFFF"/>
          <w:lang w:val="en-US" w:eastAsia="zh-CN" w:bidi="ar"/>
        </w:rPr>
      </w:pPr>
      <w:r>
        <w:rPr>
          <w:rFonts w:hint="default" w:ascii="Times New Roman" w:hAnsi="Times New Roman" w:eastAsia="楷体_GB2312" w:cs="Times New Roman"/>
          <w:b/>
          <w:bCs/>
          <w:color w:val="000000"/>
          <w:kern w:val="0"/>
          <w:sz w:val="32"/>
          <w:szCs w:val="32"/>
          <w:shd w:val="clear" w:fill="FFFFFF"/>
          <w:lang w:val="en-US" w:eastAsia="zh-CN" w:bidi="ar"/>
        </w:rPr>
        <w:t>（一）部门预算管理。</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省国资委扎实贯彻落实省委省政府“全省各级政府压减一般性财政预算支出，减少政府开支，建设节约型机关”重要要求，预算安排始终坚持做到统筹兼顾、保障重点、调优结构，更加倾向于保障重点工作开展和机关日常运转需要。2020年度部门预算收支全面纳入绩效管理，在编制年初预算时认真组织绩效目标填报，确保绩效目标编制合理、细化量化。</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年中加强预算绩效运行监控，对项目阶段性完成的数量、质量、时效、成本情况，项目预期的经济效益、社会效益、生态效益、可持续性情况、满意度指标的实现程度及趋势情况以及项目预算调整情况等加强监控，形成绩效监控报告，确保绩效目标如期保质保量实现。</w:t>
      </w:r>
    </w:p>
    <w:p>
      <w:pPr>
        <w:keepNext w:val="0"/>
        <w:keepLines w:val="0"/>
        <w:widowControl/>
        <w:suppressLineNumbers w:val="0"/>
        <w:adjustRightInd w:val="0"/>
        <w:snapToGrid w:val="0"/>
        <w:spacing w:before="0" w:beforeAutospacing="0" w:after="0" w:afterAutospacing="0" w:line="580" w:lineRule="exact"/>
        <w:ind w:left="0" w:right="0" w:firstLine="640" w:firstLineChars="200"/>
        <w:contextualSpacing/>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年末深入组织开展年度绩效管理工作评价，对部门决策情况，综合管理情况，部门预算执行情况及项目实施效果开展绩效自评，形成自评报告并及时报送财政。进一步强化评价结果与下一年度项目资金安排的衔接，将预算执行进度及项目绩效考评结果作为下一年安排各处（室）预算的重要依据。健全绩效管理工作机制，明确职责分工，努力提高绩效管理工作水平。2020年我委部门预算9293.44万元，实际执行8976.53万元，执行率96.59%，较2019年提升14个百分点，2020年预算项目实际完成情况达到预期绩效目标。</w:t>
      </w:r>
    </w:p>
    <w:p>
      <w:pPr>
        <w:keepNext w:val="0"/>
        <w:keepLines w:val="0"/>
        <w:widowControl/>
        <w:suppressLineNumbers w:val="0"/>
        <w:adjustRightInd w:val="0"/>
        <w:snapToGrid w:val="0"/>
        <w:spacing w:before="0" w:beforeAutospacing="0" w:after="0" w:afterAutospacing="0" w:line="580" w:lineRule="exact"/>
        <w:ind w:left="0" w:right="0" w:firstLine="642" w:firstLineChars="200"/>
        <w:contextualSpacing/>
        <w:jc w:val="both"/>
        <w:rPr>
          <w:rFonts w:hint="default" w:ascii="Times New Roman" w:hAnsi="Times New Roman" w:eastAsia="楷体_GB2312" w:cs="Times New Roman"/>
          <w:b/>
          <w:bCs/>
          <w:color w:val="000000"/>
          <w:kern w:val="0"/>
          <w:sz w:val="32"/>
          <w:szCs w:val="32"/>
          <w:shd w:val="clear" w:fill="FFFFFF"/>
          <w:lang w:val="en-US" w:eastAsia="zh-CN" w:bidi="ar"/>
        </w:rPr>
      </w:pPr>
      <w:r>
        <w:rPr>
          <w:rFonts w:hint="default" w:ascii="Times New Roman" w:hAnsi="Times New Roman" w:eastAsia="楷体_GB2312" w:cs="Times New Roman"/>
          <w:b/>
          <w:bCs/>
          <w:color w:val="000000"/>
          <w:kern w:val="0"/>
          <w:sz w:val="32"/>
          <w:szCs w:val="32"/>
          <w:shd w:val="clear" w:fill="FFFFFF"/>
          <w:lang w:val="en-US" w:eastAsia="zh-CN" w:bidi="ar"/>
        </w:rPr>
        <w:t>（二）结果应用情况。</w:t>
      </w:r>
    </w:p>
    <w:p>
      <w:pPr>
        <w:keepNext w:val="0"/>
        <w:keepLines w:val="0"/>
        <w:widowControl/>
        <w:suppressLineNumbers w:val="0"/>
        <w:adjustRightInd w:val="0"/>
        <w:snapToGrid w:val="0"/>
        <w:spacing w:before="0" w:beforeAutospacing="0" w:after="0" w:afterAutospacing="0" w:line="580" w:lineRule="exact"/>
        <w:ind w:left="0" w:right="0" w:firstLine="640" w:firstLineChars="200"/>
        <w:contextualSpacing/>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2020年我委部门预算绩效目标按要求随同预算在本部门网站向社会公开。部门整体绩效自评情况按要求随同决算向社会公开，接受社会监督。我委未涉及绩效管理结果整改。</w:t>
      </w:r>
    </w:p>
    <w:p>
      <w:pPr>
        <w:keepNext w:val="0"/>
        <w:keepLines w:val="0"/>
        <w:widowControl/>
        <w:suppressLineNumbers w:val="0"/>
        <w:adjustRightInd w:val="0"/>
        <w:snapToGrid w:val="0"/>
        <w:spacing w:before="0" w:beforeAutospacing="0" w:after="0" w:afterAutospacing="0" w:line="580" w:lineRule="exact"/>
        <w:ind w:left="0" w:right="0" w:firstLine="640" w:firstLineChars="200"/>
        <w:contextualSpacing/>
        <w:jc w:val="both"/>
        <w:rPr>
          <w:rFonts w:hint="default" w:ascii="Times New Roman" w:hAnsi="Times New Roman" w:eastAsia="黑体" w:cs="Times New Roman"/>
          <w:color w:val="000000"/>
          <w:kern w:val="0"/>
          <w:sz w:val="32"/>
          <w:szCs w:val="32"/>
          <w:shd w:val="clear" w:fill="FFFFFF"/>
        </w:rPr>
      </w:pPr>
      <w:r>
        <w:rPr>
          <w:rFonts w:hint="default" w:ascii="Times New Roman" w:hAnsi="Times New Roman" w:eastAsia="黑体" w:cs="Times New Roman"/>
          <w:color w:val="000000"/>
          <w:kern w:val="0"/>
          <w:sz w:val="32"/>
          <w:szCs w:val="32"/>
          <w:shd w:val="clear" w:fill="FFFFFF"/>
          <w:lang w:val="en-US" w:eastAsia="zh-CN" w:bidi="ar"/>
        </w:rPr>
        <w:t>四、评价结论及建议</w:t>
      </w:r>
    </w:p>
    <w:p>
      <w:pPr>
        <w:keepNext w:val="0"/>
        <w:keepLines w:val="0"/>
        <w:widowControl/>
        <w:suppressLineNumbers w:val="0"/>
        <w:adjustRightInd w:val="0"/>
        <w:snapToGrid w:val="0"/>
        <w:spacing w:before="0" w:beforeAutospacing="0" w:after="0" w:afterAutospacing="0" w:line="580" w:lineRule="exact"/>
        <w:ind w:left="0" w:right="0" w:firstLine="642" w:firstLineChars="200"/>
        <w:contextualSpacing/>
        <w:jc w:val="both"/>
        <w:rPr>
          <w:rFonts w:hint="default" w:ascii="Times New Roman" w:hAnsi="Times New Roman" w:eastAsia="楷体_GB2312" w:cs="Times New Roman"/>
          <w:b/>
          <w:bCs/>
          <w:color w:val="000000"/>
          <w:kern w:val="0"/>
          <w:sz w:val="32"/>
          <w:szCs w:val="32"/>
          <w:shd w:val="clear" w:fill="FFFFFF"/>
          <w:lang w:val="en-US" w:eastAsia="zh-CN" w:bidi="ar"/>
        </w:rPr>
      </w:pPr>
      <w:r>
        <w:rPr>
          <w:rFonts w:hint="default" w:ascii="Times New Roman" w:hAnsi="Times New Roman" w:eastAsia="楷体_GB2312" w:cs="Times New Roman"/>
          <w:b/>
          <w:bCs/>
          <w:color w:val="000000"/>
          <w:kern w:val="0"/>
          <w:sz w:val="32"/>
          <w:szCs w:val="32"/>
          <w:shd w:val="clear" w:fill="FFFFFF"/>
          <w:lang w:val="en-US" w:eastAsia="zh-CN" w:bidi="ar"/>
        </w:rPr>
        <w:t>（一）评价结论。</w:t>
      </w:r>
    </w:p>
    <w:p>
      <w:pPr>
        <w:pStyle w:val="15"/>
        <w:keepNext w:val="0"/>
        <w:keepLines w:val="0"/>
        <w:widowControl w:val="0"/>
        <w:suppressLineNumbers w:val="0"/>
        <w:shd w:val="clear" w:fill="FFFFFF"/>
        <w:autoSpaceDE w:val="0"/>
        <w:autoSpaceDN/>
        <w:spacing w:before="0" w:beforeAutospacing="0" w:after="0" w:afterAutospacing="0" w:line="572" w:lineRule="exact"/>
        <w:ind w:left="0" w:right="0" w:firstLine="627" w:firstLineChars="196"/>
        <w:jc w:val="both"/>
        <w:rPr>
          <w:rFonts w:hint="default" w:ascii="Times New Roman" w:hAnsi="Times New Roman" w:eastAsia="仿宋_GB2312" w:cs="Times New Roman"/>
          <w:b w:val="0"/>
          <w:bCs w:val="0"/>
          <w:kern w:val="0"/>
          <w:sz w:val="32"/>
          <w:szCs w:val="32"/>
          <w:shd w:val="clear" w:fill="FFFFFF"/>
        </w:rPr>
      </w:pPr>
      <w:r>
        <w:rPr>
          <w:rFonts w:hint="default" w:ascii="Times New Roman" w:hAnsi="Times New Roman" w:eastAsia="仿宋_GB2312" w:cs="Times New Roman"/>
          <w:b w:val="0"/>
          <w:bCs w:val="0"/>
          <w:kern w:val="0"/>
          <w:sz w:val="32"/>
          <w:szCs w:val="32"/>
          <w:shd w:val="clear" w:fill="FFFFFF"/>
          <w:lang w:val="en-US" w:eastAsia="zh-CN" w:bidi="ar"/>
        </w:rPr>
        <w:t>2020年我委部门整体支出绩效评价自评按百分制换算得分88.97分（自评满分90分，自评得分80.07分），其中部门预算管理得分70.07分，绩效结果应用得分10分（详细评分情况见附件）。主要减分项为：1.预算执行—支出控制满分10分，按公式计算“办公费、印刷费、水费、电费、物业管理费”预算与决算偏差率为13.02%（预算合计447.68万元，决算合计389.37万元），偏差度在10%-20%之间，自评得分5分，减5分；2.预算执行—动态调整满分10分，按公式计算自评得分6.59分（结余注销额为316.92万元，年度预算总额为9293.64万元），减3.41分；3.预算执行—执行进度满分10分，预算6月执行进度24.3%，未达到40%（因受新冠疫情影响，预算下达时间为6月），9月执行进度85.76%，达到67.5%，11月执行进度89.29%，达到82.5%，按百分比计算自评得分8.82分，减1.18分；4.预算执行—预算完成满分10分，部门预算项目12月份执行进度达到96.59%，按公式计算自评得分9.66分，减0.34分。4项共减分9.93分。</w:t>
      </w:r>
    </w:p>
    <w:p>
      <w:pPr>
        <w:keepNext w:val="0"/>
        <w:keepLines w:val="0"/>
        <w:widowControl/>
        <w:suppressLineNumbers w:val="0"/>
        <w:adjustRightInd w:val="0"/>
        <w:snapToGrid w:val="0"/>
        <w:spacing w:before="0" w:beforeAutospacing="0" w:after="0" w:afterAutospacing="0" w:line="580" w:lineRule="exact"/>
        <w:ind w:left="0" w:right="0" w:firstLine="642" w:firstLineChars="200"/>
        <w:contextualSpacing/>
        <w:jc w:val="both"/>
        <w:rPr>
          <w:rFonts w:hint="default" w:ascii="Times New Roman" w:hAnsi="Times New Roman" w:eastAsia="楷体_GB2312" w:cs="Times New Roman"/>
          <w:b/>
          <w:bCs/>
          <w:color w:val="000000"/>
          <w:kern w:val="0"/>
          <w:sz w:val="32"/>
          <w:szCs w:val="32"/>
          <w:shd w:val="clear" w:fill="FFFFFF"/>
          <w:lang w:val="en-US" w:eastAsia="zh-CN" w:bidi="ar"/>
        </w:rPr>
      </w:pPr>
      <w:r>
        <w:rPr>
          <w:rFonts w:hint="default" w:ascii="Times New Roman" w:hAnsi="Times New Roman" w:eastAsia="楷体_GB2312" w:cs="Times New Roman"/>
          <w:b/>
          <w:bCs/>
          <w:color w:val="000000"/>
          <w:kern w:val="0"/>
          <w:sz w:val="32"/>
          <w:szCs w:val="32"/>
          <w:shd w:val="clear" w:fill="FFFFFF"/>
          <w:lang w:val="en-US" w:eastAsia="zh-CN" w:bidi="ar"/>
        </w:rPr>
        <w:t>（二）存在问题。</w:t>
      </w:r>
    </w:p>
    <w:p>
      <w:pPr>
        <w:keepNext w:val="0"/>
        <w:keepLines w:val="0"/>
        <w:widowControl w:val="0"/>
        <w:suppressLineNumbers w:val="0"/>
        <w:autoSpaceDE w:val="0"/>
        <w:autoSpaceDN/>
        <w:spacing w:before="0" w:beforeAutospacing="0" w:after="0" w:afterAutospacing="0" w:line="620" w:lineRule="exact"/>
        <w:ind w:left="0" w:right="0"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一是因部分政府采购项目实际中标金额小于预算指标下达金额导致经费结余。例如2020年省属企业年度财务审计项目年初预算1467.75万元，实际政府采购执行1181.35万元，剩余286.4万元。对于此类采购项目，节省了财政资金，预算绩效评价再作为预算执行问题进行扣分，不利于客观评价财政支出绩效，也不符合节约原则。建议财政预算绩效评价对政府采购项目实际发生数小于预算数情况不计入预算执行问题进行扣分。</w:t>
      </w:r>
    </w:p>
    <w:p>
      <w:pPr>
        <w:pStyle w:val="15"/>
        <w:keepNext w:val="0"/>
        <w:keepLines w:val="0"/>
        <w:widowControl w:val="0"/>
        <w:suppressLineNumbers w:val="0"/>
        <w:shd w:val="clear" w:fill="FFFFFF"/>
        <w:autoSpaceDE w:val="0"/>
        <w:autoSpaceDN/>
        <w:spacing w:before="0" w:beforeAutospacing="0" w:after="0" w:afterAutospacing="0" w:line="572" w:lineRule="exact"/>
        <w:ind w:left="0" w:right="0" w:firstLine="627" w:firstLineChars="196"/>
        <w:jc w:val="both"/>
        <w:rPr>
          <w:rFonts w:hint="default" w:ascii="Times New Roman" w:hAnsi="Times New Roman" w:eastAsia="仿宋_GB2312" w:cs="Times New Roman"/>
          <w:b w:val="0"/>
          <w:bCs w:val="0"/>
          <w:kern w:val="0"/>
          <w:sz w:val="32"/>
          <w:szCs w:val="32"/>
          <w:shd w:val="clear" w:fill="FFFFFF"/>
        </w:rPr>
      </w:pPr>
      <w:r>
        <w:rPr>
          <w:rFonts w:hint="default" w:ascii="Times New Roman" w:hAnsi="Times New Roman" w:eastAsia="仿宋_GB2312" w:cs="Times New Roman"/>
          <w:b w:val="0"/>
          <w:bCs w:val="0"/>
          <w:kern w:val="0"/>
          <w:sz w:val="32"/>
          <w:szCs w:val="32"/>
          <w:shd w:val="clear" w:fill="FFFFFF"/>
          <w:lang w:val="en-US" w:eastAsia="zh-CN" w:bidi="ar"/>
        </w:rPr>
        <w:t>二是预算支出安排矛盾较为突出。省国资委2021年度预算已基本为保运转和保刚性支出，如果在执行过程中要求压减非重点、刚性支出项目预算几乎没有空间，不符合实际经费需求；我委下属事业单位外部董事工作中心未纳入我委二级预算单位管理，外董中心工作经费和兼职外部董事薪酬无财政预算资金保障。根据国资国企改革要求，通过完善外部董事中心建设、打造专兼职外部董事队伍，预计2021年底兼职外部董事数量达到26人，专职外部董事数量达到7人，外部董事服务中心工作人员达到5人。2021年开展外部董事专项工作需经费465万元，目前除专职外部董事薪酬外，其余工作经费和兼职外部董事薪酬无专项财政资金预算进行保障。</w:t>
      </w:r>
    </w:p>
    <w:p>
      <w:pPr>
        <w:keepNext w:val="0"/>
        <w:keepLines w:val="0"/>
        <w:widowControl/>
        <w:suppressLineNumbers w:val="0"/>
        <w:adjustRightInd w:val="0"/>
        <w:snapToGrid w:val="0"/>
        <w:spacing w:before="0" w:beforeAutospacing="0" w:after="0" w:afterAutospacing="0" w:line="580" w:lineRule="exact"/>
        <w:ind w:left="0" w:right="0" w:firstLine="642" w:firstLineChars="200"/>
        <w:contextualSpacing/>
        <w:jc w:val="both"/>
        <w:rPr>
          <w:rFonts w:hint="default" w:ascii="Times New Roman" w:hAnsi="Times New Roman" w:eastAsia="楷体_GB2312" w:cs="Times New Roman"/>
          <w:b/>
          <w:bCs/>
          <w:color w:val="000000"/>
          <w:kern w:val="0"/>
          <w:sz w:val="32"/>
          <w:szCs w:val="32"/>
          <w:shd w:val="clear" w:fill="FFFFFF"/>
          <w:lang w:val="en-US" w:eastAsia="zh-CN" w:bidi="ar"/>
        </w:rPr>
      </w:pPr>
      <w:r>
        <w:rPr>
          <w:rFonts w:hint="default" w:ascii="Times New Roman" w:hAnsi="Times New Roman" w:eastAsia="楷体_GB2312" w:cs="Times New Roman"/>
          <w:b/>
          <w:bCs/>
          <w:color w:val="000000"/>
          <w:kern w:val="0"/>
          <w:sz w:val="32"/>
          <w:szCs w:val="32"/>
          <w:shd w:val="clear" w:fill="FFFFFF"/>
          <w:lang w:val="en-US" w:eastAsia="zh-CN" w:bidi="ar"/>
        </w:rPr>
        <w:t>（三）改进建议。</w:t>
      </w:r>
    </w:p>
    <w:p>
      <w:pPr>
        <w:pStyle w:val="15"/>
        <w:keepNext w:val="0"/>
        <w:keepLines w:val="0"/>
        <w:widowControl w:val="0"/>
        <w:suppressLineNumbers w:val="0"/>
        <w:shd w:val="clear" w:fill="FFFFFF"/>
        <w:autoSpaceDE w:val="0"/>
        <w:autoSpaceDN/>
        <w:spacing w:before="0" w:beforeAutospacing="0" w:after="0" w:afterAutospacing="0" w:line="572" w:lineRule="exact"/>
        <w:ind w:left="0" w:right="0" w:firstLine="627" w:firstLineChars="196"/>
        <w:jc w:val="both"/>
        <w:rPr>
          <w:rFonts w:hint="default" w:ascii="Times New Roman" w:hAnsi="Times New Roman" w:eastAsia="仿宋_GB2312" w:cs="Times New Roman"/>
          <w:b w:val="0"/>
          <w:bCs w:val="0"/>
          <w:kern w:val="0"/>
          <w:sz w:val="32"/>
          <w:szCs w:val="32"/>
          <w:shd w:val="clear" w:fill="FFFFFF"/>
        </w:rPr>
      </w:pPr>
      <w:r>
        <w:rPr>
          <w:rFonts w:hint="default" w:ascii="Times New Roman" w:hAnsi="Times New Roman" w:eastAsia="仿宋_GB2312" w:cs="Times New Roman"/>
          <w:b w:val="0"/>
          <w:bCs w:val="0"/>
          <w:kern w:val="0"/>
          <w:sz w:val="32"/>
          <w:szCs w:val="32"/>
          <w:shd w:val="clear" w:fill="FFFFFF"/>
          <w:lang w:val="en-US" w:eastAsia="zh-CN" w:bidi="ar"/>
        </w:rPr>
        <w:t>我们将按照财政厅工作要求，规范支出预算执行管理，着力提高预算执行效率和资金使用绩效。进一步加强财务管理的职责、流程和监督机制的科学化、规范化建设，切实建立严肃财经纪律、规范财务管理的长效机制。</w:t>
      </w:r>
    </w:p>
    <w:p>
      <w:pPr>
        <w:keepNext w:val="0"/>
        <w:keepLines w:val="0"/>
        <w:widowControl w:val="0"/>
        <w:suppressLineNumbers w:val="0"/>
        <w:autoSpaceDE w:val="0"/>
        <w:autoSpaceDN/>
        <w:spacing w:before="0" w:beforeAutospacing="0" w:after="0" w:afterAutospacing="0" w:line="572" w:lineRule="exact"/>
        <w:ind w:left="0" w:leftChars="0" w:right="0" w:rightChars="0"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b w:val="0"/>
          <w:bCs w:val="0"/>
          <w:kern w:val="2"/>
          <w:sz w:val="32"/>
          <w:szCs w:val="32"/>
          <w:lang w:val="en-US" w:eastAsia="zh-CN" w:bidi="ar"/>
        </w:rPr>
        <w:t>一是加强学习提升预算绩效管理的专业性。我们将向财政厅资产管理处沟通协调，积极争取专业的业务指导，加强工作衔接，促进我委财务管理水平和财务人员专业素质的进</w:t>
      </w:r>
      <w:r>
        <w:rPr>
          <w:rFonts w:hint="default" w:ascii="Times New Roman" w:hAnsi="Times New Roman" w:eastAsia="仿宋_GB2312" w:cs="Times New Roman"/>
          <w:kern w:val="0"/>
          <w:sz w:val="32"/>
          <w:szCs w:val="32"/>
          <w:lang w:val="en-US" w:eastAsia="zh-CN" w:bidi="ar"/>
        </w:rPr>
        <w:t>一步提高。同时加强预算绩效管理体系建设。按照省委省政府《全省预算绩效管理工作推进方案》要求，全省持续深化部门、项目和政策绩效管理，建成绩效信息管理平台。办公室将按照方案要求，深入学习新业务、新知识，继续推进我委预算绩效管理体系和信息化建设。牵头组织各处室围绕职能职责、发展规划和工作任务，严格预算绩效目标设置，跟踪评价资金使用绩效，加强绩效评价结果运用，推动提高部门和单位整体绩效管理水平，促进预算绩效管理进一步精准化、科学化。</w:t>
      </w:r>
    </w:p>
    <w:p>
      <w:pPr>
        <w:pStyle w:val="15"/>
        <w:keepNext w:val="0"/>
        <w:keepLines w:val="0"/>
        <w:widowControl w:val="0"/>
        <w:suppressLineNumbers w:val="0"/>
        <w:shd w:val="clear" w:fill="FFFFFF"/>
        <w:autoSpaceDE w:val="0"/>
        <w:autoSpaceDN/>
        <w:spacing w:before="0" w:beforeAutospacing="0" w:after="0" w:afterAutospacing="0" w:line="572" w:lineRule="exact"/>
        <w:ind w:left="0" w:right="0" w:firstLine="627" w:firstLineChars="196"/>
        <w:jc w:val="both"/>
        <w:rPr>
          <w:rFonts w:hint="default" w:ascii="Times New Roman" w:hAnsi="Times New Roman" w:eastAsia="仿宋_GB2312" w:cs="Times New Roman"/>
          <w:b w:val="0"/>
          <w:bCs w:val="0"/>
          <w:kern w:val="0"/>
          <w:sz w:val="32"/>
          <w:szCs w:val="32"/>
          <w:shd w:val="clear" w:fill="FFFFFF"/>
        </w:rPr>
      </w:pPr>
      <w:r>
        <w:rPr>
          <w:rFonts w:hint="default" w:ascii="Times New Roman" w:hAnsi="Times New Roman" w:eastAsia="仿宋_GB2312" w:cs="Times New Roman"/>
          <w:b w:val="0"/>
          <w:bCs w:val="0"/>
          <w:kern w:val="0"/>
          <w:sz w:val="32"/>
          <w:szCs w:val="32"/>
          <w:shd w:val="clear" w:fill="FFFFFF"/>
          <w:lang w:val="en-US" w:eastAsia="zh-CN" w:bidi="ar"/>
        </w:rPr>
        <w:t>二是积极协调扩大企业财务审计项目覆盖范围。按照国有企业改革三年行动方案工作要求，进一步优化管资本的方式和手段，切实提高审计监督的系统性、针对性、有效性，目前除已纳入预算的企业财务决算审计、经营业绩考核及工资专项审计、国有资本收益审核专项审计工作以外，省国资委亟需全面开展企业内部审计、违规经营投资追责审查、境外资产管理专项审计、产权管理监督、项目投资后评价、董事会及董事评价监督、重大财务事项监督审计等各项监督管理工作。近年来，受部门预算资金连年压减的影响，以上项目均无相关配套资金支持。同时，省属企业年度决算审计工作也尚未实现财政预算全覆盖。鉴于原省属企业财务审计工作统一委托费用仅用于部分监督事项，原有预算适用范围已不能覆盖上述相关监督职能任务。我们正在积极协调争取在不增加财政负担的情况下，从2021年起，将内部审计、违规经营投资追责审查、境外资产管理专项审计、产权管理监督、项目投资后评价、董事会及董事评价监督、尚未纳入的省属企业年度财务决算审计、重大财务事项审计监督及其他国有资产监督工作等事项纳入省属企业年度财务审计预算适用范围，原有预算额度保持不变，避免政府采购预算结余较大导致预算绩效评价扣分。</w:t>
      </w:r>
    </w:p>
    <w:p>
      <w:pPr>
        <w:spacing w:line="570" w:lineRule="exact"/>
        <w:jc w:val="center"/>
        <w:rPr>
          <w:rFonts w:hint="default" w:ascii="Times New Roman" w:hAnsi="Times New Roman" w:eastAsia="方正小标宋简体" w:cs="Times New Roman"/>
          <w:color w:val="FF0000"/>
          <w:kern w:val="0"/>
          <w:sz w:val="40"/>
          <w:szCs w:val="44"/>
        </w:rPr>
      </w:pPr>
    </w:p>
    <w:p>
      <w:pPr>
        <w:rPr>
          <w:rStyle w:val="29"/>
          <w:rFonts w:hint="default" w:ascii="Times New Roman" w:hAnsi="Times New Roman" w:eastAsia="黑体" w:cs="Times New Roman"/>
          <w:b w:val="0"/>
        </w:rPr>
      </w:pPr>
      <w:r>
        <w:rPr>
          <w:rStyle w:val="29"/>
          <w:rFonts w:hint="default" w:ascii="Times New Roman" w:hAnsi="Times New Roman" w:eastAsia="黑体" w:cs="Times New Roman"/>
          <w:b w:val="0"/>
        </w:rPr>
        <w:br w:type="page"/>
      </w:r>
    </w:p>
    <w:p>
      <w:pPr>
        <w:spacing w:line="570" w:lineRule="exact"/>
        <w:jc w:val="left"/>
        <w:outlineLvl w:val="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2</w:t>
      </w:r>
    </w:p>
    <w:p>
      <w:pPr>
        <w:pStyle w:val="8"/>
        <w:rPr>
          <w:rFonts w:hint="default" w:ascii="Times New Roman" w:hAnsi="Times New Roman" w:cs="Times New Roman"/>
          <w:lang w:eastAsia="zh-CN"/>
        </w:rPr>
      </w:pPr>
    </w:p>
    <w:p>
      <w:pPr>
        <w:pStyle w:val="40"/>
        <w:keepNext w:val="0"/>
        <w:keepLines w:val="0"/>
        <w:widowControl w:val="0"/>
        <w:suppressLineNumbers w:val="0"/>
        <w:autoSpaceDE w:val="0"/>
        <w:autoSpaceDN/>
        <w:spacing w:line="572" w:lineRule="exact"/>
        <w:jc w:val="center"/>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rPr>
        <w:t>四川省省级国有企业改革发展资金</w:t>
      </w:r>
    </w:p>
    <w:p>
      <w:pPr>
        <w:pStyle w:val="40"/>
        <w:keepNext w:val="0"/>
        <w:keepLines w:val="0"/>
        <w:widowControl w:val="0"/>
        <w:suppressLineNumbers w:val="0"/>
        <w:autoSpaceDE w:val="0"/>
        <w:autoSpaceDN/>
        <w:spacing w:line="572" w:lineRule="exact"/>
        <w:jc w:val="center"/>
        <w:rPr>
          <w:rFonts w:hint="default" w:ascii="Times New Roman" w:hAnsi="Times New Roman" w:eastAsia="方正小标宋简体" w:cs="Times New Roman"/>
          <w:kern w:val="2"/>
          <w:sz w:val="40"/>
          <w:szCs w:val="40"/>
        </w:rPr>
      </w:pPr>
      <w:r>
        <w:rPr>
          <w:rFonts w:hint="default" w:ascii="Times New Roman" w:hAnsi="Times New Roman" w:eastAsia="方正小标宋简体" w:cs="Times New Roman"/>
          <w:kern w:val="2"/>
          <w:sz w:val="44"/>
          <w:szCs w:val="44"/>
        </w:rPr>
        <w:t>专项预算项目支出绩效自评报告</w:t>
      </w:r>
    </w:p>
    <w:p>
      <w:pPr>
        <w:keepNext w:val="0"/>
        <w:keepLines w:val="0"/>
        <w:widowControl w:val="0"/>
        <w:suppressLineNumbers w:val="0"/>
        <w:autoSpaceDE w:val="0"/>
        <w:autoSpaceDN/>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按照《财政厅关于开展2021年部门、政策和项目支出绩效评价工作的通知》（川财绩〔2021〕6号）的要求，省国资委对2020年四川省省级国有企业改革发展资金的项目支出绩效情况开展了自评工作。现将自评情况报告如下：</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一、项目概况</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lang w:val="en-US" w:eastAsia="zh-CN" w:bidi="ar"/>
        </w:rPr>
        <w:t>（一）项目基本情况。</w:t>
      </w:r>
    </w:p>
    <w:p>
      <w:pPr>
        <w:keepNext w:val="0"/>
        <w:keepLines w:val="0"/>
        <w:widowControl w:val="0"/>
        <w:suppressLineNumbers w:val="0"/>
        <w:autoSpaceDE w:val="0"/>
        <w:autoSpaceDN/>
        <w:spacing w:before="0" w:beforeAutospacing="0" w:after="0" w:afterAutospacing="0" w:line="572" w:lineRule="exact"/>
        <w:ind w:left="0" w:right="0" w:firstLine="64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2018年，财政厅和省国资委制定了《四川省省级国有企业改革发展资金管理办法》（以下简称资金管理办法）。</w:t>
      </w:r>
    </w:p>
    <w:p>
      <w:pPr>
        <w:keepNext w:val="0"/>
        <w:keepLines w:val="0"/>
        <w:widowControl w:val="0"/>
        <w:suppressLineNumbers w:val="0"/>
        <w:autoSpaceDE w:val="0"/>
        <w:autoSpaceDN/>
        <w:spacing w:before="0" w:beforeAutospacing="0" w:after="0" w:afterAutospacing="0" w:line="572" w:lineRule="exact"/>
        <w:ind w:left="0" w:right="0" w:firstLine="64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专项资金由财政厅、省国资委共同管理。财政厅负责专项资金的预算管理和资金拨付；会同省国资委确定年度项目预算规模，研究制定资金分配总体方案；组织开展专项资金绩效评价和监督检查。省国资委会同财政厅开展项目管理工作，组织项目申报和项目评审，提出项目安排具体方案；负责项目执行和监督检查。</w:t>
      </w:r>
    </w:p>
    <w:p>
      <w:pPr>
        <w:keepNext w:val="0"/>
        <w:keepLines w:val="0"/>
        <w:widowControl w:val="0"/>
        <w:suppressLineNumbers w:val="0"/>
        <w:autoSpaceDE w:val="0"/>
        <w:autoSpaceDN/>
        <w:spacing w:before="0" w:beforeAutospacing="0" w:after="0" w:afterAutospacing="0" w:line="572" w:lineRule="exact"/>
        <w:ind w:left="0" w:right="0" w:firstLine="64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省国资委监管的省属企业向财政厅、省国资委提出项目资金申请报告；其他省属企业的资金申请，经省级主管部门审核后，由其主管部门向财政厅、省国资委提出项目资金申请报告。市（州）、扩权县（市）及省属下放的国有企业申请专项资金，由企业所在市（州）及扩权县（市）财政、国资部门汇总后上报财政厅、省国资委。</w:t>
      </w:r>
    </w:p>
    <w:p>
      <w:pPr>
        <w:keepNext w:val="0"/>
        <w:keepLines w:val="0"/>
        <w:widowControl w:val="0"/>
        <w:suppressLineNumbers w:val="0"/>
        <w:autoSpaceDE w:val="0"/>
        <w:autoSpaceDN/>
        <w:spacing w:before="0" w:beforeAutospacing="0" w:after="0" w:afterAutospacing="0" w:line="572" w:lineRule="exact"/>
        <w:ind w:left="0" w:right="0" w:firstLine="64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专项资金主要用于以下方面：一是支付国有企业改革成本，安排用于省属国有企业分流安置富余人员、剥离国有企业办社会职能、离退休人员社会化管理、国有企业“三供一业”分离移交等方面支出；二是解决国有企业历史遗留问题，安排用于省属国有企业兑现离休干部医疗保险费用、退休教师待遇费用等方面支出；三是注入国有企业资本金，安排用于省属国有企业资本金注入，引导省属投资运营公司和重点骨干企业做强做优做大、推动我省重大产业发展的支出；四是特定事项支出，根据省委、省政府决策部署，安排国资国企改革发展的其他重点支出。</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4.按照“公开透明、统筹安排，突出重点、强化绩效”的原则，综合运用规划分配、据实据效、竞争立项等方式分配管理专项资金。</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lang w:val="en-US" w:eastAsia="zh-CN" w:bidi="ar"/>
        </w:rPr>
        <w:t>（二）项目绩效目标。</w:t>
      </w:r>
    </w:p>
    <w:p>
      <w:pPr>
        <w:keepNext w:val="0"/>
        <w:keepLines w:val="0"/>
        <w:widowControl w:val="0"/>
        <w:suppressLineNumbers w:val="0"/>
        <w:autoSpaceDE w:val="0"/>
        <w:autoSpaceDN/>
        <w:spacing w:before="0" w:beforeAutospacing="0" w:after="0" w:afterAutospacing="0" w:line="572" w:lineRule="exact"/>
        <w:ind w:left="0" w:right="0" w:firstLine="64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专项资金实行绩效管理，由财政厅会同省国资委对专项资金实施绩效目标管理、绩效目标执行监控、绩效评价和评价结果反馈与应用。2020年专项资金绩效目标为：兑现省政府规定的离休干部医药费、退休教师待遇补差等政策；完成省政府确定的锦弘集团蜀兰大酒店人员补助等特定事项，按省政府要求对省属国有企业进行资本金补充。</w:t>
      </w:r>
    </w:p>
    <w:p>
      <w:pPr>
        <w:keepNext w:val="0"/>
        <w:keepLines w:val="0"/>
        <w:widowControl w:val="0"/>
        <w:suppressLineNumbers w:val="0"/>
        <w:autoSpaceDE w:val="0"/>
        <w:autoSpaceDN/>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2020年专项资金给予资金支持的项目，项目内容符合资金管理办法规定的申请条件和使用范围，项目目标合理可行，申报材料齐全，申报审核程序符合规定。</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lang w:val="en-US" w:eastAsia="zh-CN" w:bidi="ar"/>
        </w:rPr>
        <w:t>（三）项目自评步骤及方法。</w:t>
      </w:r>
    </w:p>
    <w:p>
      <w:pPr>
        <w:keepNext w:val="0"/>
        <w:keepLines w:val="0"/>
        <w:widowControl w:val="0"/>
        <w:suppressLineNumbers w:val="0"/>
        <w:autoSpaceDE w:val="0"/>
        <w:autoSpaceDN/>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根据川财绩〔2021〕6号文件等规定，省国资委及时对2020年省改革发展资金绩效评价工作进行了安排。召开专题会议，要求有关项目单位开展自评工作，并按绩效评价的要求准备项目实施、资金支出、绩效目标实现情况等工作资料。</w:t>
      </w:r>
    </w:p>
    <w:p>
      <w:pPr>
        <w:keepNext w:val="0"/>
        <w:keepLines w:val="0"/>
        <w:widowControl w:val="0"/>
        <w:suppressLineNumbers w:val="0"/>
        <w:autoSpaceDE w:val="0"/>
        <w:autoSpaceDN/>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绩效自评工作采用目标预定与实施效果比较方法，将项目计划的绩效目标与其实际所产生的效益进行对比，对资金的使用绩效进行评价。</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二、项目资金申报及使用情况</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lang w:val="en-US" w:eastAsia="zh-CN" w:bidi="ar"/>
        </w:rPr>
        <w:t>（一）项目资金申报及批复情况。</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2020年专项资金按照资金管理办法的有关规定，经有关单位申请，由财政厅、省国资委审核并提出建议意见上报省政府分管领导批准。</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（二）资金计划、到位及使用情况。</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1.资金计划。2021年专项资金计划32000万元全部为省财政资金。</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2.资金到位。截止评价时点项目资金全部到位。</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3.资金使用。</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2020年专项资金实际安排31999.63万元，截止自评时间共使用资金27937.63万元。</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一是安排16525.38万元对省属国有企业减免中小企业房租进行补助，全部支付到位；二是保障困难省属国有企业离休干部的医疗费用1119.73万元、困难省属国有企业退休教师的待遇补差376.59万元，全部支付到位；三是完成省政府确定的特定事项补助，锦弘集团蜀兰大酒店人员补助382.46万元和红卫威达煤矿内退人员补助296.08万元，全部支付到位；四是支付省属国有企业外部董事薪酬167.39万元，全部支付到位；五是退休人员社会化管理费用补助13132万元，其中2020年补助9070万元已支付到位，2021年补助4062万元，待去年资金清算后下拨。</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专项资金支付范围、支付标准、支付进度、支付依据都合规合法，与预算相符。</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lang w:val="en-US" w:eastAsia="zh-CN" w:bidi="ar"/>
        </w:rPr>
        <w:t>（三）项目财务管理情况。</w:t>
      </w:r>
    </w:p>
    <w:p>
      <w:pPr>
        <w:keepNext w:val="0"/>
        <w:keepLines w:val="0"/>
        <w:widowControl w:val="0"/>
        <w:suppressLineNumbers w:val="0"/>
        <w:autoSpaceDE w:val="0"/>
        <w:autoSpaceDN/>
        <w:spacing w:before="0" w:beforeAutospacing="0" w:after="0" w:afterAutospacing="0" w:line="572" w:lineRule="exact"/>
        <w:ind w:left="0" w:right="0"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仿宋_GB2312" w:cs="Times New Roman"/>
          <w:kern w:val="2"/>
          <w:sz w:val="32"/>
          <w:szCs w:val="32"/>
          <w:lang w:val="en-US" w:eastAsia="zh-CN" w:bidi="ar"/>
        </w:rPr>
        <w:t>各项目申报单位的财务管理制度比较健全，执行财务管理制度比较严格，账务处理比较及时，会计核算较为规范。</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三、项目实施及管理情况</w:t>
      </w:r>
    </w:p>
    <w:p>
      <w:pPr>
        <w:keepNext w:val="0"/>
        <w:keepLines w:val="0"/>
        <w:widowControl w:val="0"/>
        <w:suppressLineNumbers w:val="0"/>
        <w:autoSpaceDE w:val="0"/>
        <w:autoSpaceDN/>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2020年专项资金项目单位预先使用资金后财政资金进行补助，各项目均按照有关法律法规及政策的规定组织实施，项目资金做到专款专用。</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lang w:val="en-US" w:eastAsia="zh-CN" w:bidi="ar"/>
        </w:rPr>
        <w:t>四、项目绩效情况</w:t>
      </w:r>
      <w:r>
        <w:rPr>
          <w:rFonts w:hint="default" w:ascii="Times New Roman" w:hAnsi="Times New Roman" w:eastAsia="仿宋_GB2312" w:cs="Times New Roman"/>
          <w:kern w:val="2"/>
          <w:sz w:val="32"/>
          <w:szCs w:val="32"/>
          <w:lang w:val="en-US" w:eastAsia="zh-CN" w:bidi="ar"/>
        </w:rPr>
        <w:tab/>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lang w:val="en-US" w:eastAsia="zh-CN" w:bidi="ar"/>
        </w:rPr>
        <w:t>（一）项目完成情况。</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2020年专项资金实际安排31999.63万元，截止自评时间除去2021年退休人员社会化管理费用补助4062万元需待去年资金清算后下拨外，共使用资金27937.63万元，完成率87.31%。</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lang w:val="en-US" w:eastAsia="zh-CN" w:bidi="ar"/>
        </w:rPr>
        <w:t>（二）项目效益情况。</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政策保障覆盖面应保必保,资金拨付进度按省政府规定时限拨付,预算完成率达到100%。因为疫情影响经济效益目标促进省属国有企业利润增长5%未能完成。</w:t>
      </w:r>
    </w:p>
    <w:p>
      <w:pPr>
        <w:keepNext w:val="0"/>
        <w:keepLines w:val="0"/>
        <w:widowControl w:val="0"/>
        <w:suppressLineNumbers w:val="0"/>
        <w:autoSpaceDE w:val="0"/>
        <w:autoSpaceDN/>
        <w:adjustRightInd w:val="0"/>
        <w:snapToGrid w:val="0"/>
        <w:spacing w:before="0" w:beforeAutospacing="0" w:after="0" w:afterAutospacing="0" w:line="572" w:lineRule="exact"/>
        <w:ind w:left="0" w:right="0" w:firstLine="72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五、评价结论及建议</w:t>
      </w:r>
    </w:p>
    <w:p>
      <w:pPr>
        <w:keepNext w:val="0"/>
        <w:keepLines w:val="0"/>
        <w:widowControl w:val="0"/>
        <w:suppressLineNumbers w:val="0"/>
        <w:autoSpaceDE w:val="0"/>
        <w:autoSpaceDN/>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按照绩效评价的有关要求，我们认为，2020年四川省省级国有企业改革发展资金严格遵守财政资金管理、分配和使用的有关规定，审核、报批程序完整，资金拨付及时；得到资金支持的各项目做到了专款专用，项目均按照有关法律法规政策的规定推进，取得了良好的社会效益和一定的经济效益。</w:t>
      </w:r>
    </w:p>
    <w:p>
      <w:pPr>
        <w:keepNext w:val="0"/>
        <w:keepLines w:val="0"/>
        <w:widowControl w:val="0"/>
        <w:suppressLineNumbers w:val="0"/>
        <w:autoSpaceDE w:val="0"/>
        <w:autoSpaceDN/>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下一步，财政厅和省国资委将通过信息公开、通报整改、约谈整改、与预算安排挂钩等方式，表扬先进、鞭策后进、奖优罚劣。</w:t>
      </w:r>
    </w:p>
    <w:p>
      <w:pPr>
        <w:keepNext w:val="0"/>
        <w:keepLines w:val="0"/>
        <w:widowControl w:val="0"/>
        <w:suppressLineNumbers w:val="0"/>
        <w:autoSpaceDE w:val="0"/>
        <w:autoSpaceDN/>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spacing w:line="570" w:lineRule="exact"/>
        <w:jc w:val="left"/>
        <w:outlineLvl w:val="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3</w:t>
      </w:r>
    </w:p>
    <w:p>
      <w:pPr>
        <w:keepNext w:val="0"/>
        <w:keepLines w:val="0"/>
        <w:widowControl w:val="0"/>
        <w:suppressLineNumbers w:val="0"/>
        <w:autoSpaceDE w:val="0"/>
        <w:autoSpaceDN/>
        <w:snapToGrid w:val="0"/>
        <w:spacing w:before="0" w:beforeAutospacing="0" w:after="0" w:afterAutospacing="0" w:line="572" w:lineRule="exact"/>
        <w:ind w:left="0" w:right="0"/>
        <w:jc w:val="center"/>
        <w:rPr>
          <w:rFonts w:hint="default" w:ascii="Times New Roman" w:hAnsi="Times New Roman" w:eastAsia="方正小标宋简体" w:cs="Times New Roman"/>
          <w:kern w:val="2"/>
          <w:sz w:val="44"/>
          <w:szCs w:val="44"/>
          <w:lang w:val="en-US" w:eastAsia="zh-CN" w:bidi="ar"/>
        </w:rPr>
      </w:pPr>
    </w:p>
    <w:p>
      <w:pPr>
        <w:keepNext w:val="0"/>
        <w:keepLines w:val="0"/>
        <w:widowControl w:val="0"/>
        <w:suppressLineNumbers w:val="0"/>
        <w:autoSpaceDE w:val="0"/>
        <w:autoSpaceDN/>
        <w:snapToGrid w:val="0"/>
        <w:spacing w:before="0" w:beforeAutospacing="0" w:after="0" w:afterAutospacing="0" w:line="572" w:lineRule="exact"/>
        <w:ind w:left="0" w:right="0"/>
        <w:jc w:val="center"/>
        <w:rPr>
          <w:rFonts w:hint="default" w:ascii="Times New Roman" w:hAnsi="Times New Roman" w:eastAsia="方正小标宋简体" w:cs="Times New Roman"/>
          <w:b/>
          <w:bCs/>
          <w:kern w:val="2"/>
          <w:sz w:val="44"/>
          <w:szCs w:val="44"/>
        </w:rPr>
      </w:pPr>
      <w:r>
        <w:rPr>
          <w:rFonts w:hint="default" w:ascii="Times New Roman" w:hAnsi="Times New Roman" w:eastAsia="方正小标宋简体" w:cs="Times New Roman"/>
          <w:b/>
          <w:bCs/>
          <w:kern w:val="2"/>
          <w:sz w:val="44"/>
          <w:szCs w:val="44"/>
          <w:lang w:val="en-US" w:eastAsia="zh-CN" w:bidi="ar"/>
        </w:rPr>
        <w:t>部门预算项目支出绩效自评报告</w:t>
      </w:r>
    </w:p>
    <w:p>
      <w:pPr>
        <w:keepNext w:val="0"/>
        <w:keepLines w:val="0"/>
        <w:widowControl w:val="0"/>
        <w:suppressLineNumbers w:val="0"/>
        <w:autoSpaceDE w:val="0"/>
        <w:autoSpaceDN/>
        <w:snapToGrid w:val="0"/>
        <w:spacing w:before="0" w:beforeAutospacing="0" w:after="0" w:afterAutospacing="0" w:line="572" w:lineRule="exact"/>
        <w:ind w:left="0" w:right="0"/>
        <w:jc w:val="center"/>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lang w:val="en-US" w:eastAsia="zh-CN" w:bidi="ar"/>
        </w:rPr>
        <w:t>（省属企业年度财务审计项目）</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left"/>
        <w:rPr>
          <w:rFonts w:hint="default" w:ascii="Times New Roman" w:hAnsi="Times New Roman" w:eastAsia="仿宋_GB2312" w:cs="Times New Roman"/>
          <w:b/>
          <w:bCs w:val="0"/>
          <w:kern w:val="2"/>
          <w:sz w:val="32"/>
          <w:szCs w:val="32"/>
        </w:rPr>
      </w:pPr>
      <w:r>
        <w:rPr>
          <w:rFonts w:hint="default" w:ascii="Times New Roman" w:hAnsi="Times New Roman" w:eastAsia="仿宋_GB2312" w:cs="Times New Roman"/>
          <w:b/>
          <w:bCs w:val="0"/>
          <w:kern w:val="2"/>
          <w:sz w:val="32"/>
          <w:szCs w:val="32"/>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572" w:lineRule="exact"/>
        <w:ind w:right="0" w:rightChars="0" w:firstLine="640" w:firstLineChars="200"/>
        <w:jc w:val="left"/>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一、基本情况</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仿宋_GB2312" w:cs="Times New Roman"/>
          <w:kern w:val="2"/>
          <w:sz w:val="32"/>
          <w:szCs w:val="32"/>
        </w:rPr>
      </w:pPr>
      <w:r>
        <w:rPr>
          <w:rFonts w:hint="eastAsia" w:ascii="楷体_GB2312" w:hAnsi="楷体_GB2312" w:eastAsia="楷体_GB2312" w:cs="楷体_GB2312"/>
          <w:b/>
          <w:bCs/>
          <w:kern w:val="2"/>
          <w:sz w:val="32"/>
          <w:szCs w:val="32"/>
          <w:lang w:val="en-US" w:eastAsia="zh-CN" w:bidi="ar"/>
        </w:rPr>
        <w:t>（一）项目概况。</w:t>
      </w:r>
      <w:r>
        <w:rPr>
          <w:rFonts w:hint="default" w:ascii="Times New Roman" w:hAnsi="Times New Roman" w:eastAsia="仿宋_GB2312" w:cs="Times New Roman"/>
          <w:b w:val="0"/>
          <w:bCs w:val="0"/>
          <w:kern w:val="2"/>
          <w:sz w:val="32"/>
          <w:szCs w:val="32"/>
          <w:lang w:val="en-US" w:eastAsia="zh-CN" w:bidi="ar"/>
        </w:rPr>
        <w:t>本项目主要目标为选聘会计师事务所完成2019年度省属企业年度企业财务决算审计、经营业绩考核清算及工资专项审计和国有资本收益审核；财政预算经费为1467.75万元。</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仿宋_GB2312" w:cs="Times New Roman"/>
          <w:kern w:val="2"/>
          <w:sz w:val="32"/>
          <w:szCs w:val="32"/>
        </w:rPr>
      </w:pPr>
      <w:r>
        <w:rPr>
          <w:rFonts w:hint="default" w:ascii="楷体_GB2312" w:hAnsi="楷体_GB2312" w:eastAsia="楷体_GB2312" w:cs="楷体_GB2312"/>
          <w:b/>
          <w:bCs/>
          <w:kern w:val="2"/>
          <w:sz w:val="32"/>
          <w:szCs w:val="32"/>
          <w:lang w:val="en-US" w:eastAsia="zh-CN" w:bidi="ar"/>
        </w:rPr>
        <w:t>（二）项目实施情况。</w:t>
      </w:r>
      <w:r>
        <w:rPr>
          <w:rFonts w:hint="default" w:ascii="Times New Roman" w:hAnsi="Times New Roman" w:eastAsia="仿宋_GB2312" w:cs="Times New Roman"/>
          <w:b w:val="0"/>
          <w:bCs w:val="0"/>
          <w:kern w:val="2"/>
          <w:sz w:val="32"/>
          <w:szCs w:val="32"/>
          <w:lang w:val="en-US" w:eastAsia="zh-CN" w:bidi="ar"/>
        </w:rPr>
        <w:t>本项目通过四川省政府采购中心，集中采购审计服务项目，通过公开招标、竞争性谈判的方式选取会计师事务所；各事务所按照招标文件约定，对省属监管企业</w:t>
      </w:r>
      <w:r>
        <w:rPr>
          <w:rFonts w:hint="default" w:ascii="Times New Roman" w:hAnsi="Times New Roman" w:eastAsia="仿宋_GB2312" w:cs="Times New Roman"/>
          <w:kern w:val="2"/>
          <w:sz w:val="32"/>
          <w:szCs w:val="32"/>
          <w:lang w:val="en-US" w:eastAsia="zh-CN" w:bidi="ar"/>
        </w:rPr>
        <w:t>2019年度财务决算相关报表发表审计意见，对被审计企业的重大财务事项管理、财务状况等事项出具财务审计或专项审核报告；对省属监管企业2019年度国有资本收益申报情况进行审核，出具审核报告；对省属监管企业2019年度企业负责人年度经营业绩考核清算和工资专项审计，对企业2019年度负责人年度经营业绩考核清算和工资专项清算，出具专项</w:t>
      </w:r>
      <w:r>
        <w:rPr>
          <w:rFonts w:hint="default" w:ascii="Times New Roman" w:hAnsi="Times New Roman" w:eastAsia="仿宋_GB2312" w:cs="Times New Roman"/>
          <w:color w:val="000000"/>
          <w:kern w:val="2"/>
          <w:sz w:val="32"/>
          <w:szCs w:val="32"/>
          <w:lang w:val="en-US" w:eastAsia="zh-CN" w:bidi="ar"/>
        </w:rPr>
        <w:t>审计</w:t>
      </w:r>
      <w:r>
        <w:rPr>
          <w:rFonts w:hint="default" w:ascii="Times New Roman" w:hAnsi="Times New Roman" w:eastAsia="仿宋_GB2312" w:cs="Times New Roman"/>
          <w:kern w:val="2"/>
          <w:sz w:val="32"/>
          <w:szCs w:val="32"/>
          <w:lang w:val="en-US" w:eastAsia="zh-CN" w:bidi="ar"/>
        </w:rPr>
        <w:t>报告。</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仿宋_GB2312" w:cs="Times New Roman"/>
          <w:kern w:val="2"/>
          <w:sz w:val="32"/>
          <w:szCs w:val="32"/>
        </w:rPr>
      </w:pPr>
      <w:r>
        <w:rPr>
          <w:rFonts w:hint="default" w:ascii="楷体_GB2312" w:hAnsi="楷体_GB2312" w:eastAsia="楷体_GB2312" w:cs="楷体_GB2312"/>
          <w:b/>
          <w:bCs/>
          <w:kern w:val="2"/>
          <w:sz w:val="32"/>
          <w:szCs w:val="32"/>
          <w:lang w:val="en-US" w:eastAsia="zh-CN" w:bidi="ar"/>
        </w:rPr>
        <w:t>（三）资金投入。</w:t>
      </w:r>
      <w:r>
        <w:rPr>
          <w:rFonts w:hint="default" w:ascii="Times New Roman" w:hAnsi="Times New Roman" w:eastAsia="仿宋_GB2312" w:cs="Times New Roman"/>
          <w:kern w:val="2"/>
          <w:sz w:val="32"/>
          <w:szCs w:val="32"/>
          <w:lang w:val="en-US" w:eastAsia="zh-CN" w:bidi="ar"/>
        </w:rPr>
        <w:t>项目财政预算为1467.75万元，合计中标价格1181.35万元，实际支付1181.35万元。</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仿宋_GB2312" w:cs="Times New Roman"/>
          <w:kern w:val="2"/>
          <w:sz w:val="32"/>
          <w:szCs w:val="32"/>
        </w:rPr>
      </w:pPr>
      <w:r>
        <w:rPr>
          <w:rFonts w:hint="default" w:ascii="楷体_GB2312" w:hAnsi="楷体_GB2312" w:eastAsia="楷体_GB2312" w:cs="楷体_GB2312"/>
          <w:b/>
          <w:bCs/>
          <w:kern w:val="2"/>
          <w:sz w:val="32"/>
          <w:szCs w:val="32"/>
          <w:lang w:val="en-US" w:eastAsia="zh-CN" w:bidi="ar"/>
        </w:rPr>
        <w:t>（四）项目绩效目标。</w:t>
      </w:r>
      <w:r>
        <w:rPr>
          <w:rFonts w:hint="default" w:ascii="Times New Roman" w:hAnsi="Times New Roman" w:eastAsia="仿宋_GB2312" w:cs="Times New Roman"/>
          <w:kern w:val="2"/>
          <w:sz w:val="32"/>
          <w:szCs w:val="32"/>
          <w:lang w:val="en-US" w:eastAsia="zh-CN" w:bidi="ar"/>
        </w:rPr>
        <w:t>本项目预期完成2019年度省属企业年度企业财务决算审计、经营业绩考核清算及工资专项审计和国有资本收益审核，完成效果良好。</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lang w:val="en-US" w:eastAsia="zh-CN" w:bidi="ar"/>
        </w:rPr>
        <w:t>二、评价工作开展情况</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本项目参照财政厅统一的项目支出绩效自评表、2021年度重点部门预算项目自评指标体系对项目的实施进行评价，牵头处室负责进行实施评价，研究讨论了绩效自评表的相关指标体系以及评价标准，认为科学合理、符合实际。按照项目实施的情况，客观真实地填列项目支出绩效自评表和年度重点部门预算项目自评指标体系相关内容。</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三、综合评价结论（附评分表）</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项目决策、管理、产出和效益的全过程均科学合理，保证预期目标顺利完成。</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黑体" w:cs="Times New Roman"/>
          <w:b w:val="0"/>
          <w:bCs/>
          <w:kern w:val="2"/>
          <w:sz w:val="32"/>
          <w:szCs w:val="32"/>
        </w:rPr>
      </w:pPr>
      <w:r>
        <w:rPr>
          <w:rFonts w:hint="default" w:ascii="Times New Roman" w:hAnsi="Times New Roman" w:eastAsia="黑体" w:cs="Times New Roman"/>
          <w:b w:val="0"/>
          <w:bCs/>
          <w:kern w:val="2"/>
          <w:sz w:val="32"/>
          <w:szCs w:val="32"/>
          <w:lang w:val="en-US" w:eastAsia="zh-CN" w:bidi="ar"/>
        </w:rPr>
        <w:t>四、绩效评价分析</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仿宋_GB2312" w:cs="Times New Roman"/>
          <w:kern w:val="2"/>
          <w:sz w:val="32"/>
          <w:szCs w:val="32"/>
        </w:rPr>
      </w:pPr>
      <w:r>
        <w:rPr>
          <w:rFonts w:hint="default" w:ascii="楷体_GB2312" w:hAnsi="楷体_GB2312" w:eastAsia="楷体_GB2312" w:cs="楷体_GB2312"/>
          <w:b/>
          <w:bCs/>
          <w:kern w:val="2"/>
          <w:sz w:val="32"/>
          <w:szCs w:val="32"/>
          <w:lang w:val="en-US" w:eastAsia="zh-CN" w:bidi="ar"/>
        </w:rPr>
        <w:t>（一）项目决策情况</w:t>
      </w:r>
      <w:r>
        <w:rPr>
          <w:rFonts w:hint="default" w:ascii="Times New Roman" w:hAnsi="Times New Roman" w:eastAsia="楷体_GB2312" w:cs="Times New Roman"/>
          <w:b/>
          <w:bCs w:val="0"/>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在必要性方面，由省国资委聘请会计师事务所对省属监管企业年度决算等事项进行审计，利于保证中介机构的独立性和权威性，确保省属监管企业会计信息质量，真实反映企业经济运行情况，因此从国资监管企业角度来看，该项目的实施十分有必要。在可行性方面，四川省财政厅针对该项目下达1467.75万元预算资金，项目实施具备了资金保障；审计服务项目纳入政府集中采购，省国资委严格按照政府采购规定执行采购程序，确保了采购规范性。资金分配方面，按照被审计企业的规模、子公司数量、层级、区域等因素，区别各企业的审计难度，进而将财政预算资金分配至各企业，确保科学公正。</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（二）项目管理情况。</w:t>
      </w:r>
      <w:r>
        <w:rPr>
          <w:rFonts w:hint="default" w:ascii="Times New Roman" w:hAnsi="Times New Roman" w:eastAsia="仿宋_GB2312" w:cs="Times New Roman"/>
          <w:kern w:val="2"/>
          <w:sz w:val="32"/>
          <w:szCs w:val="32"/>
          <w:lang w:val="en-US" w:eastAsia="zh-CN" w:bidi="ar"/>
        </w:rPr>
        <w:t>资金使用方面，根据质量评价结果，对相关会计师事务所年度审计委托费进行集中支付；按照省财政厅有关支付进度要求，规范支付资金。在制度管理方面，按照《省属企业财务决算审计统一委托工作管理办法》</w:t>
      </w:r>
      <w:r>
        <w:rPr>
          <w:rFonts w:hint="default" w:ascii="Times New Roman" w:hAnsi="Times New Roman" w:eastAsia="仿宋_GB2312" w:cs="Times New Roman"/>
          <w:w w:val="99"/>
          <w:kern w:val="2"/>
          <w:sz w:val="32"/>
          <w:szCs w:val="32"/>
          <w:lang w:val="en-US" w:eastAsia="zh-CN" w:bidi="ar"/>
        </w:rPr>
        <w:t>（川国资委〔2017〕317号），甲方对乙方服务质量进行考核。</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（三）项目产出情况。</w:t>
      </w:r>
      <w:r>
        <w:rPr>
          <w:rFonts w:hint="default" w:ascii="Times New Roman" w:hAnsi="Times New Roman" w:eastAsia="仿宋_GB2312" w:cs="Times New Roman"/>
          <w:kern w:val="2"/>
          <w:sz w:val="32"/>
          <w:szCs w:val="32"/>
          <w:lang w:val="en-US" w:eastAsia="zh-CN" w:bidi="ar"/>
        </w:rPr>
        <w:t>产出数量方面，完成20家省属监管企业财务决算审计及相关专项报告；19家企业集团国有资本收益审核报告；20家企业集团工资专项审计报告和负责人经营业绩考核清算报告。产出质量方面，所有报告符合法律法规和国资委相关规定的要求，真实完整披露了企业相关数据信息，为省国资委完成财务决算、国有资本预算、考核分配等工作提供了数据保障。在时效性方面，所有报告按业务约定书的规定时间上报。</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（四）项目效益情况。</w:t>
      </w:r>
      <w:r>
        <w:rPr>
          <w:rFonts w:hint="default" w:ascii="Times New Roman" w:hAnsi="Times New Roman" w:eastAsia="仿宋_GB2312" w:cs="Times New Roman"/>
          <w:kern w:val="2"/>
          <w:sz w:val="32"/>
          <w:szCs w:val="32"/>
          <w:lang w:val="en-US" w:eastAsia="zh-CN" w:bidi="ar"/>
        </w:rPr>
        <w:t>社会效益方面，审计报告作为省国资委财务决算批复、经营业绩考核、工资清算、国有资本收益收缴的直接依据。经济效益方面，财务决算审计报告为企业融资、生产经营决策提供了参考依据，有利于国有企业保值增值。可持续影响方面，可长期使用企业财务报告。</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黑体" w:cs="Times New Roman"/>
          <w:kern w:val="2"/>
          <w:sz w:val="32"/>
          <w:szCs w:val="32"/>
          <w:lang w:val="en-US" w:eastAsia="zh-CN" w:bidi="ar"/>
        </w:rPr>
      </w:pPr>
      <w:r>
        <w:rPr>
          <w:rFonts w:hint="default" w:ascii="Times New Roman" w:hAnsi="Times New Roman" w:eastAsia="黑体" w:cs="Times New Roman"/>
          <w:kern w:val="2"/>
          <w:sz w:val="32"/>
          <w:szCs w:val="32"/>
          <w:lang w:val="en-US" w:eastAsia="zh-CN" w:bidi="ar"/>
        </w:rPr>
        <w:t>五、存在主要问题</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由于各被审计企业经营情况各异，尽管采购对象都是审计服务，但是各企业审计服务内容大相径庭，因此应进行分包采购。</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六、相关措施建议</w:t>
      </w:r>
    </w:p>
    <w:p>
      <w:pPr>
        <w:keepNext w:val="0"/>
        <w:keepLines w:val="0"/>
        <w:widowControl w:val="0"/>
        <w:suppressLineNumbers w:val="0"/>
        <w:autoSpaceDE w:val="0"/>
        <w:autoSpaceDN/>
        <w:spacing w:before="0" w:beforeAutospacing="0" w:after="0" w:afterAutospacing="0" w:line="572" w:lineRule="exact"/>
        <w:ind w:left="0" w:right="0" w:firstLine="640" w:firstLineChars="200"/>
        <w:jc w:val="both"/>
        <w:rPr>
          <w:rFonts w:hint="default" w:ascii="Times New Roman" w:hAnsi="Times New Roman" w:cs="Times New Roman"/>
          <w:w w:val="100"/>
        </w:rPr>
      </w:pPr>
      <w:r>
        <w:rPr>
          <w:rFonts w:hint="default" w:ascii="Times New Roman" w:hAnsi="Times New Roman" w:eastAsia="仿宋_GB2312" w:cs="Times New Roman"/>
          <w:w w:val="100"/>
          <w:kern w:val="2"/>
          <w:sz w:val="32"/>
          <w:szCs w:val="32"/>
          <w:lang w:val="en-US" w:eastAsia="zh-CN" w:bidi="ar"/>
        </w:rPr>
        <w:t>建议明确审计服务项目可采取分包方式进行采购，确保采购质量。</w:t>
      </w:r>
    </w:p>
    <w:p>
      <w:pPr>
        <w:rPr>
          <w:rFonts w:hint="default" w:ascii="Times New Roman" w:hAnsi="Times New Roman" w:eastAsia="黑体" w:cs="Times New Roman"/>
          <w:w w:val="100"/>
          <w:kern w:val="0"/>
          <w:sz w:val="32"/>
          <w:szCs w:val="32"/>
        </w:rPr>
        <w:sectPr>
          <w:pgSz w:w="11906" w:h="16838"/>
          <w:pgMar w:top="1440" w:right="1800" w:bottom="1440" w:left="1800" w:header="851" w:footer="992" w:gutter="0"/>
          <w:pgNumType w:fmt="decimal"/>
          <w:cols w:space="0" w:num="1"/>
          <w:titlePg/>
          <w:docGrid w:type="lines" w:linePitch="312" w:charSpace="0"/>
        </w:sectPr>
      </w:pPr>
    </w:p>
    <w:p>
      <w:pPr>
        <w:pStyle w:val="6"/>
        <w:keepNext w:val="0"/>
        <w:keepLines w:val="0"/>
        <w:widowControl w:val="0"/>
        <w:suppressLineNumbers w:val="0"/>
        <w:autoSpaceDE w:val="0"/>
        <w:autoSpaceDN/>
        <w:spacing w:line="572" w:lineRule="exact"/>
        <w:ind w:left="0" w:leftChars="0" w:firstLine="0" w:firstLineChars="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p>
    <w:p>
      <w:pPr>
        <w:keepNext w:val="0"/>
        <w:keepLines w:val="0"/>
        <w:widowControl w:val="0"/>
        <w:suppressLineNumbers w:val="0"/>
        <w:autoSpaceDE w:val="0"/>
        <w:autoSpaceDN/>
        <w:snapToGrid w:val="0"/>
        <w:spacing w:before="0" w:beforeAutospacing="0" w:after="0" w:afterAutospacing="0" w:line="572" w:lineRule="exact"/>
        <w:ind w:left="0" w:right="0"/>
        <w:jc w:val="center"/>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lang w:val="en-US" w:eastAsia="zh-CN" w:bidi="ar"/>
        </w:rPr>
        <w:t>部门预算项目支出绩效自评报告</w:t>
      </w:r>
    </w:p>
    <w:p>
      <w:pPr>
        <w:keepNext w:val="0"/>
        <w:keepLines w:val="0"/>
        <w:widowControl w:val="0"/>
        <w:suppressLineNumbers w:val="0"/>
        <w:autoSpaceDE w:val="0"/>
        <w:autoSpaceDN/>
        <w:snapToGrid w:val="0"/>
        <w:spacing w:before="0" w:beforeAutospacing="0" w:after="0" w:afterAutospacing="0" w:line="572" w:lineRule="exact"/>
        <w:ind w:left="0" w:right="0"/>
        <w:jc w:val="center"/>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信息化建设及运行维护</w:t>
      </w:r>
      <w:r>
        <w:rPr>
          <w:rFonts w:hint="default" w:ascii="Times New Roman" w:hAnsi="Times New Roman" w:eastAsia="仿宋_GB2312" w:cs="Times New Roman"/>
          <w:b w:val="0"/>
          <w:bCs w:val="0"/>
          <w:kern w:val="2"/>
          <w:sz w:val="32"/>
          <w:szCs w:val="32"/>
          <w:lang w:val="en-US" w:eastAsia="zh-CN" w:bidi="ar"/>
        </w:rPr>
        <w:t>项目）</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left"/>
        <w:rPr>
          <w:rFonts w:hint="default" w:ascii="Times New Roman" w:hAnsi="Times New Roman" w:eastAsia="仿宋_GB2312" w:cs="Times New Roman"/>
          <w:b/>
          <w:bCs w:val="0"/>
          <w:kern w:val="2"/>
          <w:sz w:val="32"/>
          <w:szCs w:val="32"/>
        </w:rPr>
      </w:pPr>
      <w:r>
        <w:rPr>
          <w:rFonts w:hint="default" w:ascii="Times New Roman" w:hAnsi="Times New Roman" w:eastAsia="仿宋_GB2312" w:cs="Times New Roman"/>
          <w:b/>
          <w:bCs w:val="0"/>
          <w:kern w:val="2"/>
          <w:sz w:val="32"/>
          <w:szCs w:val="32"/>
          <w:lang w:val="en-US" w:eastAsia="zh-CN" w:bidi="ar"/>
        </w:rPr>
        <w:t xml:space="preserve"> </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left"/>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一、基本情况</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仿宋_GB2312" w:cs="Times New Roman"/>
          <w:kern w:val="2"/>
          <w:sz w:val="32"/>
          <w:szCs w:val="32"/>
        </w:rPr>
      </w:pPr>
      <w:r>
        <w:rPr>
          <w:rFonts w:hint="eastAsia" w:ascii="楷体_GB2312" w:hAnsi="楷体_GB2312" w:eastAsia="楷体_GB2312" w:cs="楷体_GB2312"/>
          <w:b/>
          <w:bCs/>
          <w:kern w:val="2"/>
          <w:sz w:val="32"/>
          <w:szCs w:val="32"/>
          <w:lang w:val="en-US" w:eastAsia="zh-CN" w:bidi="ar"/>
        </w:rPr>
        <w:t>（一）项目概况。</w:t>
      </w:r>
      <w:r>
        <w:rPr>
          <w:rFonts w:hint="default" w:ascii="Times New Roman" w:hAnsi="Times New Roman" w:eastAsia="仿宋_GB2312" w:cs="Times New Roman"/>
          <w:b w:val="0"/>
          <w:bCs w:val="0"/>
          <w:kern w:val="2"/>
          <w:sz w:val="32"/>
          <w:szCs w:val="32"/>
          <w:lang w:val="en-US" w:eastAsia="zh-CN" w:bidi="ar"/>
        </w:rPr>
        <w:t>本项目主要为国资监管信息综合平台运维，主要包括系统日常运维服务、系统功能优化升级、配合推动已建业务运用、负责与省数据共享交换平台的数据运维工作、业务数据运维等六项工作；网络信息安全运维，主要包括省国资委政务云上网络安全防护建设服务（互联网区域）、省国资委政务云上网络安全防护建设服务（电子政务外网区域）、省国资委自身网络安全建设服务、移动终端APP安全加固、双方协商服务（含每月巡检、日常运维和其它安全保障工作）等五项工作；耗材及配件等。</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both"/>
        <w:rPr>
          <w:rFonts w:hint="default" w:ascii="楷体_GB2312" w:hAnsi="楷体_GB2312" w:eastAsia="楷体_GB2312" w:cs="楷体_GB2312"/>
          <w:b/>
          <w:bCs/>
          <w:kern w:val="2"/>
          <w:sz w:val="32"/>
          <w:szCs w:val="32"/>
          <w:lang w:val="en-US" w:eastAsia="zh-CN" w:bidi="ar"/>
        </w:rPr>
      </w:pPr>
      <w:r>
        <w:rPr>
          <w:rFonts w:hint="default" w:ascii="楷体_GB2312" w:hAnsi="楷体_GB2312" w:eastAsia="楷体_GB2312" w:cs="楷体_GB2312"/>
          <w:b/>
          <w:bCs/>
          <w:kern w:val="2"/>
          <w:sz w:val="32"/>
          <w:szCs w:val="32"/>
          <w:lang w:val="en-US" w:eastAsia="zh-CN" w:bidi="ar"/>
        </w:rPr>
        <w:t>（二）项目实施情况。</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1.完成了日常平台运行和维护工作，全面支撑了省国资委和相关省属企业、市州国资委、市属企业使用，全年用户登录次数为245621次。</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2.搭建了全省国资国企在线监管数据中台，并依据国务院国资监管架构进行优化，满足数据采集报送需要。对财务监管、投资监管、产权交易监管、持股上市公司监管、省属企业绩效监管、国资监管监测展示平台进行优化完善，满足持续使用需要。建立对外合作管理、合作交流平台、资产评估备案、人才管理、资产证券化系统，部分业务已上线运行。</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3.配合各业务处室推动各项已建业务的运用，目前已推动大额资金、产权登记、合作交流平台上线运行。</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4.负责与省数据共享交换平台的数据运维工作等。</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5.针对系统运行过程中，因委内工作安排产生的系统数据更新工作，如各企业、各单位组织机构人员调整、权限调整等。</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6.提供移动安全服务，保障系统使用安全。</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7.完成了省国资委自身网络安全建设工作，全面支撑了省国资委本地办公终端的安全使用，对终端进行有效安全防护，多次查杀病毒。</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8.提供移动APP安全加固服务，保障系统使用安全。</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9.政务云上资源积极申请协调中，且目前正在计划以第二套方案解决政务云上资源申请的难题。</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10.对目前已经建设完成的安全系统，进行定期安全巡检，处理发现的安全问题和整理安全报告，形成常态化安全管理。</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en-US" w:eastAsia="zh-CN" w:bidi="ar"/>
        </w:rPr>
        <w:t>11.保障了委内耗材及配件的使用。</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仿宋_GB2312" w:cs="Times New Roman"/>
          <w:kern w:val="2"/>
          <w:sz w:val="32"/>
          <w:szCs w:val="32"/>
        </w:rPr>
      </w:pPr>
      <w:r>
        <w:rPr>
          <w:rFonts w:hint="default" w:ascii="楷体_GB2312" w:hAnsi="楷体_GB2312" w:eastAsia="楷体_GB2312" w:cs="楷体_GB2312"/>
          <w:b/>
          <w:bCs/>
          <w:kern w:val="2"/>
          <w:sz w:val="32"/>
          <w:szCs w:val="32"/>
          <w:lang w:val="en-US" w:eastAsia="zh-CN" w:bidi="ar"/>
        </w:rPr>
        <w:t>（三）资金投入。</w:t>
      </w:r>
      <w:r>
        <w:rPr>
          <w:rFonts w:hint="default" w:ascii="Times New Roman" w:hAnsi="Times New Roman" w:eastAsia="仿宋_GB2312" w:cs="Times New Roman"/>
          <w:kern w:val="2"/>
          <w:sz w:val="32"/>
          <w:szCs w:val="32"/>
          <w:lang w:val="en-US" w:eastAsia="zh-CN" w:bidi="ar"/>
        </w:rPr>
        <w:t>项目财政预算为235万元，实际支付234.8万元。</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仿宋_GB2312" w:cs="Times New Roman"/>
          <w:kern w:val="2"/>
          <w:sz w:val="32"/>
          <w:szCs w:val="32"/>
        </w:rPr>
      </w:pPr>
      <w:r>
        <w:rPr>
          <w:rFonts w:hint="default" w:ascii="楷体_GB2312" w:hAnsi="楷体_GB2312" w:eastAsia="楷体_GB2312" w:cs="楷体_GB2312"/>
          <w:b/>
          <w:bCs/>
          <w:kern w:val="2"/>
          <w:sz w:val="32"/>
          <w:szCs w:val="32"/>
          <w:lang w:val="en-US" w:eastAsia="zh-CN" w:bidi="ar"/>
        </w:rPr>
        <w:t>（四）项目绩效目标。</w:t>
      </w:r>
      <w:r>
        <w:rPr>
          <w:rFonts w:hint="default" w:ascii="Times New Roman" w:hAnsi="Times New Roman" w:eastAsia="仿宋_GB2312" w:cs="Times New Roman"/>
          <w:kern w:val="2"/>
          <w:sz w:val="32"/>
          <w:szCs w:val="32"/>
          <w:lang w:val="en-US" w:eastAsia="zh-CN" w:bidi="ar"/>
        </w:rPr>
        <w:t>保障信息综合平台正常稳定运行，业务功能满足处室使用需要；保障办公终端安全稳定运行，及时有效处理网络安全威胁；保障委内耗材及配件的使用。</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lang w:val="en-US" w:eastAsia="zh-CN" w:bidi="ar"/>
        </w:rPr>
        <w:t>二、评价工作开展情况</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本项目参照项目支出绩效自评表、2021年度重点部门预算项目自评指标体系对项目的实施进行评价，业务处室负责进行实施评价，研究讨论了绩效自评表的相关指标体系以及评价标准，认为科学合理、符合实际。按照项目实施的情况，客观真实地填列项目支出绩效自评表和年度重点部门预算项目自评指标体系相关内容。</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三、综合评价结论（附评分表）</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项目决策、管理、绩效全过程均科学合理，保证预期目标顺利完成，年度重点部门预算项目自评得分94分。</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黑体" w:cs="Times New Roman"/>
          <w:b w:val="0"/>
          <w:bCs/>
          <w:kern w:val="2"/>
          <w:sz w:val="32"/>
          <w:szCs w:val="32"/>
        </w:rPr>
      </w:pPr>
      <w:r>
        <w:rPr>
          <w:rFonts w:hint="default" w:ascii="Times New Roman" w:hAnsi="Times New Roman" w:eastAsia="黑体" w:cs="Times New Roman"/>
          <w:b w:val="0"/>
          <w:bCs/>
          <w:kern w:val="2"/>
          <w:sz w:val="32"/>
          <w:szCs w:val="32"/>
          <w:lang w:val="en-US" w:eastAsia="zh-CN" w:bidi="ar"/>
        </w:rPr>
        <w:t>四、绩效评价分析</w:t>
      </w:r>
    </w:p>
    <w:p>
      <w:pPr>
        <w:keepNext w:val="0"/>
        <w:keepLines w:val="0"/>
        <w:widowControl w:val="0"/>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lang w:val="en-US" w:eastAsia="zh-CN" w:bidi="ar"/>
        </w:rPr>
        <w:t>（一）项目决策情况。</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1.项目目标（满分5分）</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val="0"/>
          <w:bCs w:val="0"/>
          <w:kern w:val="2"/>
          <w:sz w:val="32"/>
          <w:szCs w:val="32"/>
          <w:lang w:val="en-US" w:eastAsia="zh-CN" w:bidi="ar"/>
        </w:rPr>
        <w:t>目标明确，内容细化，自评得5分</w:t>
      </w:r>
      <w:r>
        <w:rPr>
          <w:rFonts w:hint="default" w:ascii="Times New Roman" w:hAnsi="Times New Roman" w:eastAsia="仿宋_GB2312" w:cs="Times New Roman"/>
          <w:kern w:val="2"/>
          <w:sz w:val="32"/>
          <w:szCs w:val="32"/>
          <w:lang w:val="en-US" w:eastAsia="zh-CN" w:bidi="ar"/>
        </w:rPr>
        <w:t>。</w:t>
      </w:r>
    </w:p>
    <w:p>
      <w:pPr>
        <w:keepNext w:val="0"/>
        <w:keepLines w:val="0"/>
        <w:widowControl w:val="0"/>
        <w:numPr>
          <w:ilvl w:val="0"/>
          <w:numId w:val="3"/>
        </w:numPr>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决策过程(满分10分）</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项目符合发展规划和部门年度工作计划，决策过程完备，</w:t>
      </w:r>
      <w:r>
        <w:rPr>
          <w:rFonts w:hint="default" w:ascii="Times New Roman" w:hAnsi="Times New Roman" w:eastAsia="仿宋_GB2312" w:cs="Times New Roman"/>
          <w:b w:val="0"/>
          <w:bCs w:val="0"/>
          <w:kern w:val="2"/>
          <w:sz w:val="32"/>
          <w:szCs w:val="32"/>
          <w:lang w:val="en-US" w:eastAsia="zh-CN" w:bidi="ar"/>
        </w:rPr>
        <w:t>自评得10分</w:t>
      </w:r>
      <w:r>
        <w:rPr>
          <w:rFonts w:hint="default" w:ascii="Times New Roman" w:hAnsi="Times New Roman" w:eastAsia="仿宋_GB2312" w:cs="Times New Roman"/>
          <w:kern w:val="2"/>
          <w:sz w:val="32"/>
          <w:szCs w:val="32"/>
          <w:lang w:val="en-US" w:eastAsia="zh-CN" w:bidi="ar"/>
        </w:rPr>
        <w:t>。</w:t>
      </w:r>
    </w:p>
    <w:p>
      <w:pPr>
        <w:keepNext w:val="0"/>
        <w:keepLines w:val="0"/>
        <w:widowControl w:val="0"/>
        <w:numPr>
          <w:ilvl w:val="0"/>
          <w:numId w:val="4"/>
        </w:numPr>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lang w:val="en-US" w:eastAsia="zh-CN" w:bidi="ar"/>
        </w:rPr>
        <w:t>项目管理情况。</w:t>
      </w:r>
    </w:p>
    <w:p>
      <w:pPr>
        <w:keepNext w:val="0"/>
        <w:keepLines w:val="0"/>
        <w:widowControl w:val="0"/>
        <w:suppressLineNumbers w:val="0"/>
        <w:autoSpaceDE w:val="0"/>
        <w:autoSpaceDN/>
        <w:snapToGrid w:val="0"/>
        <w:spacing w:before="0" w:beforeAutospacing="0" w:after="0" w:afterAutospacing="0" w:line="572" w:lineRule="exact"/>
        <w:ind w:left="0" w:leftChars="0" w:right="0" w:rightChars="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1.资金管理（满分10分）</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资金分配和使用充分结合建设内容，严格按照要求公正公开合规使用资金。自评得10分。</w:t>
      </w:r>
    </w:p>
    <w:p>
      <w:pPr>
        <w:keepNext w:val="0"/>
        <w:keepLines w:val="0"/>
        <w:widowControl w:val="0"/>
        <w:numPr>
          <w:ilvl w:val="0"/>
          <w:numId w:val="5"/>
        </w:numPr>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组织实施（满分5分）</w:t>
      </w:r>
    </w:p>
    <w:p>
      <w:pPr>
        <w:keepNext w:val="0"/>
        <w:keepLines w:val="0"/>
        <w:widowControl w:val="0"/>
        <w:suppressLineNumbers w:val="0"/>
        <w:autoSpaceDE w:val="0"/>
        <w:autoSpaceDN/>
        <w:snapToGrid w:val="0"/>
        <w:spacing w:before="0" w:beforeAutospacing="0" w:after="0" w:afterAutospacing="0" w:line="572"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严格按照项目进度计划开展组织实施工作，自评分5分。</w:t>
      </w:r>
    </w:p>
    <w:p>
      <w:pPr>
        <w:keepNext w:val="0"/>
        <w:keepLines w:val="0"/>
        <w:widowControl w:val="0"/>
        <w:numPr>
          <w:ilvl w:val="0"/>
          <w:numId w:val="6"/>
        </w:numPr>
        <w:suppressLineNumbers w:val="0"/>
        <w:autoSpaceDE w:val="0"/>
        <w:autoSpaceDN/>
        <w:snapToGrid w:val="0"/>
        <w:spacing w:before="0" w:beforeAutospacing="0" w:after="0" w:afterAutospacing="0" w:line="572" w:lineRule="exact"/>
        <w:ind w:left="0" w:right="0" w:firstLine="642" w:firstLineChars="200"/>
        <w:jc w:val="both"/>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lang w:val="en-US" w:eastAsia="zh-CN" w:bidi="ar"/>
        </w:rPr>
        <w:t>项目绩效。</w:t>
      </w:r>
    </w:p>
    <w:p>
      <w:pPr>
        <w:keepNext w:val="0"/>
        <w:keepLines w:val="0"/>
        <w:widowControl w:val="0"/>
        <w:numPr>
          <w:ilvl w:val="0"/>
          <w:numId w:val="7"/>
        </w:numPr>
        <w:suppressLineNumbers w:val="0"/>
        <w:autoSpaceDE w:val="0"/>
        <w:autoSpaceDN/>
        <w:snapToGrid w:val="0"/>
        <w:spacing w:before="0" w:beforeAutospacing="0" w:after="0" w:afterAutospacing="0" w:line="572" w:lineRule="exact"/>
        <w:ind w:left="0" w:leftChars="0" w:right="0" w:rightChars="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项目产出（满分20分）</w:t>
      </w:r>
    </w:p>
    <w:p>
      <w:pPr>
        <w:keepNext w:val="0"/>
        <w:keepLines w:val="0"/>
        <w:widowControl w:val="0"/>
        <w:suppressLineNumbers w:val="0"/>
        <w:autoSpaceDE w:val="0"/>
        <w:autoSpaceDN/>
        <w:snapToGrid w:val="0"/>
        <w:spacing w:before="0" w:beforeAutospacing="0" w:after="0" w:afterAutospacing="0" w:line="572" w:lineRule="exact"/>
        <w:ind w:left="420" w:leftChars="200" w:right="0" w:rightChars="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（1）产出数量：</w:t>
      </w:r>
    </w:p>
    <w:p>
      <w:pPr>
        <w:keepNext w:val="0"/>
        <w:keepLines w:val="0"/>
        <w:widowControl w:val="0"/>
        <w:suppressLineNumbers w:val="0"/>
        <w:autoSpaceDE w:val="0"/>
        <w:autoSpaceDN/>
        <w:snapToGrid w:val="0"/>
        <w:spacing w:before="0" w:beforeAutospacing="0" w:after="0" w:afterAutospacing="0" w:line="572" w:lineRule="exact"/>
        <w:ind w:left="0" w:leftChars="0" w:right="0" w:rightChars="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开展信息综合平台使用情况调研，包括意见建议、使用人次数等，预期指标≥5次，实际完成12次，满足要求数量，达到绩效目标。预期安装70台办公终端安全软件，实际完成70台；按月巡检、日常运维和其它保障工作（HW防守），正按预期计划开展或完成，其中按月巡检截止目前预期完成7次，实际完成7次，日常运维截止目前预期完成3次，实际完成5次，其它保障工作截止目前预期完成1次，实际完成1次；其余三项服务受限于资源申请进度影响暂未完成。部分满足要求数量，达到部分绩效目标。自评得2分。</w:t>
      </w:r>
    </w:p>
    <w:p>
      <w:pPr>
        <w:keepNext w:val="0"/>
        <w:keepLines w:val="0"/>
        <w:widowControl w:val="0"/>
        <w:numPr>
          <w:ilvl w:val="0"/>
          <w:numId w:val="8"/>
        </w:numPr>
        <w:suppressLineNumbers w:val="0"/>
        <w:autoSpaceDE w:val="0"/>
        <w:autoSpaceDN/>
        <w:snapToGrid w:val="0"/>
        <w:spacing w:before="0" w:beforeAutospacing="0" w:after="0" w:afterAutospacing="0" w:line="572" w:lineRule="exact"/>
        <w:ind w:left="0" w:leftChars="0" w:right="0" w:rightChars="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产出质量：</w:t>
      </w:r>
    </w:p>
    <w:p>
      <w:pPr>
        <w:keepNext w:val="0"/>
        <w:keepLines w:val="0"/>
        <w:widowControl w:val="0"/>
        <w:suppressLineNumbers w:val="0"/>
        <w:autoSpaceDE w:val="0"/>
        <w:autoSpaceDN/>
        <w:snapToGrid w:val="0"/>
        <w:spacing w:before="0" w:beforeAutospacing="0" w:after="0" w:afterAutospacing="0" w:line="572" w:lineRule="exact"/>
        <w:ind w:left="0" w:leftChars="0" w:right="0" w:rightChars="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预期目标通信系统故障率（故障次数占使用次数的比例）≤5%，实际为0，符合绩效目标设定的验收标准，达到行业基准水平。预期被网络安全攻击成功率（被攻击成功次数占被攻击总次数的比例）≤1%，实际为0.03%，符合绩效目标设定的验收标准，达到行业一流水平。自评得5分。</w:t>
      </w:r>
    </w:p>
    <w:p>
      <w:pPr>
        <w:keepNext w:val="0"/>
        <w:keepLines w:val="0"/>
        <w:widowControl w:val="0"/>
        <w:numPr>
          <w:ilvl w:val="0"/>
          <w:numId w:val="8"/>
        </w:numPr>
        <w:suppressLineNumbers w:val="0"/>
        <w:autoSpaceDE w:val="0"/>
        <w:autoSpaceDN/>
        <w:snapToGrid w:val="0"/>
        <w:spacing w:before="0" w:beforeAutospacing="0" w:after="0" w:afterAutospacing="0" w:line="572" w:lineRule="exact"/>
        <w:ind w:left="0" w:leftChars="0" w:right="0" w:rightChars="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产出时效：</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预期目标为信息系统所有软件更新时限（发布到更新时间）≤30天，实际完成为应用系统验证通过后即时更新，一周不少于一次，达到绩效目标。预期目标为所有安全系统建设按项目计划进行建设，实际完成为省国资委自身网络安全建设、双方协商服务（含每月巡检、日常运维等）两项按计划完成，其余三项受限于资源申请进度影响暂未完成，部分达到绩效目标。自评得2分。</w:t>
      </w:r>
    </w:p>
    <w:p>
      <w:pPr>
        <w:keepNext w:val="0"/>
        <w:keepLines w:val="0"/>
        <w:pageBreakBefore w:val="0"/>
        <w:widowControl w:val="0"/>
        <w:numPr>
          <w:ilvl w:val="0"/>
          <w:numId w:val="8"/>
        </w:numPr>
        <w:suppressLineNumbers w:val="0"/>
        <w:kinsoku/>
        <w:wordWrap/>
        <w:overflowPunct/>
        <w:topLinePunct w:val="0"/>
        <w:autoSpaceDE w:val="0"/>
        <w:autoSpaceDN/>
        <w:bidi w:val="0"/>
        <w:adjustRightInd/>
        <w:snapToGrid w:val="0"/>
        <w:spacing w:before="0" w:beforeAutospacing="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产出成本：</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Autospacing="0" w:line="540" w:lineRule="exact"/>
        <w:ind w:left="0" w:leftChars="0" w:right="0" w:rightChars="0" w:firstLine="640" w:firstLineChars="200"/>
        <w:jc w:val="left"/>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项目财政预算为235万元，实际支付234.8万元，达到绩效目标控制，自评得5分。</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2.项目效益（满分40分）</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（1）社会效益指标</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信息综合平台已作为省国资委工作平台，月使用率达到100%，提高了委内各业务处室业务效率。安全建设服务已为省国资委工作平台、办公终端有效提供安全防护，安全防护率达到99.97%，有效保障省国资委办公安全。自评得20分。</w:t>
      </w:r>
    </w:p>
    <w:p>
      <w:pPr>
        <w:keepNext w:val="0"/>
        <w:keepLines w:val="0"/>
        <w:pageBreakBefore w:val="0"/>
        <w:widowControl w:val="0"/>
        <w:numPr>
          <w:ilvl w:val="0"/>
          <w:numId w:val="9"/>
        </w:numPr>
        <w:suppressLineNumbers w:val="0"/>
        <w:kinsoku/>
        <w:wordWrap/>
        <w:overflowPunct/>
        <w:topLinePunct w:val="0"/>
        <w:autoSpaceDE w:val="0"/>
        <w:autoSpaceDN/>
        <w:bidi w:val="0"/>
        <w:adjustRightInd/>
        <w:snapToGrid w:val="0"/>
        <w:spacing w:before="0" w:beforeAutospacing="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可持续影响指标</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信息系统处于长期运行的状态，使用寿命超过5年。安全建设服务处于长期有效运行的状态。自评得20分。</w:t>
      </w:r>
    </w:p>
    <w:p>
      <w:pPr>
        <w:keepNext w:val="0"/>
        <w:keepLines w:val="0"/>
        <w:pageBreakBefore w:val="0"/>
        <w:widowControl w:val="0"/>
        <w:numPr>
          <w:ilvl w:val="0"/>
          <w:numId w:val="10"/>
        </w:numPr>
        <w:suppressLineNumbers w:val="0"/>
        <w:kinsoku/>
        <w:wordWrap/>
        <w:overflowPunct/>
        <w:topLinePunct w:val="0"/>
        <w:autoSpaceDE w:val="0"/>
        <w:autoSpaceDN/>
        <w:bidi w:val="0"/>
        <w:adjustRightInd/>
        <w:snapToGrid w:val="0"/>
        <w:spacing w:before="0" w:beforeAutospacing="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服务对象满意度（满分10分）</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Autospacing="0" w:line="540" w:lineRule="exact"/>
        <w:ind w:left="0" w:leftChars="0" w:right="0" w:rightChars="0" w:firstLine="640" w:firstLineChars="200"/>
        <w:jc w:val="left"/>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通过与处室沟通交流，了解到服务对象对该项目的满意程度达到97.5%，达到95%年度目标，自评得10分。</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Autospacing="0" w:line="540" w:lineRule="exact"/>
        <w:ind w:left="0" w:leftChars="0" w:right="0" w:rightChars="0" w:firstLine="640" w:firstLineChars="200"/>
        <w:jc w:val="both"/>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五、存在主要问题</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无。</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Autospacing="0" w:line="540" w:lineRule="exact"/>
        <w:ind w:left="0" w:leftChars="0" w:right="0" w:rightChars="0" w:firstLine="640" w:firstLineChars="200"/>
        <w:jc w:val="both"/>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六、相关措施建议</w:t>
      </w:r>
    </w:p>
    <w:p>
      <w:pPr>
        <w:keepNext w:val="0"/>
        <w:keepLines w:val="0"/>
        <w:pageBreakBefore w:val="0"/>
        <w:widowControl w:val="0"/>
        <w:suppressLineNumbers w:val="0"/>
        <w:kinsoku/>
        <w:wordWrap/>
        <w:overflowPunct/>
        <w:topLinePunct w:val="0"/>
        <w:autoSpaceDE w:val="0"/>
        <w:autoSpaceDN/>
        <w:bidi w:val="0"/>
        <w:adjustRightInd/>
        <w:spacing w:before="0" w:beforeAutospacing="0" w:afterAutospacing="0" w:line="540" w:lineRule="exact"/>
        <w:ind w:left="0" w:leftChars="0" w:right="0" w:rightChars="0" w:firstLine="640" w:firstLineChars="200"/>
        <w:jc w:val="both"/>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kern w:val="2"/>
          <w:sz w:val="32"/>
          <w:szCs w:val="32"/>
          <w:lang w:val="en-US" w:eastAsia="zh-CN" w:bidi="ar"/>
        </w:rPr>
        <w:t>无。</w:t>
      </w:r>
    </w:p>
    <w:p>
      <w:pPr>
        <w:rPr>
          <w:rFonts w:hint="default" w:ascii="Times New Roman" w:hAnsi="Times New Roman" w:cs="Times New Roman"/>
        </w:rPr>
      </w:pPr>
      <w:r>
        <w:rPr>
          <w:rFonts w:hint="default" w:ascii="Times New Roman" w:hAnsi="Times New Roman" w:cs="Times New Roman"/>
        </w:rPr>
        <w:br w:type="page"/>
      </w:r>
    </w:p>
    <w:p>
      <w:pPr>
        <w:pStyle w:val="8"/>
        <w:rPr>
          <w:rFonts w:hint="default" w:ascii="Times New Roman" w:hAnsi="Times New Roman" w:cs="Times New Roman"/>
        </w:rPr>
      </w:pPr>
    </w:p>
    <w:p>
      <w:pPr>
        <w:spacing w:line="570" w:lineRule="exact"/>
        <w:jc w:val="center"/>
        <w:outlineLvl w:val="0"/>
        <w:rPr>
          <w:rStyle w:val="29"/>
          <w:rFonts w:hint="default" w:ascii="Times New Roman" w:hAnsi="Times New Roman" w:eastAsia="方正小标宋简体" w:cs="Times New Roman"/>
        </w:rPr>
      </w:pPr>
      <w:bookmarkStart w:id="67" w:name="_Toc15396618"/>
      <w:r>
        <w:rPr>
          <w:rFonts w:hint="default" w:ascii="Times New Roman" w:hAnsi="Times New Roman" w:eastAsia="方正小标宋简体" w:cs="Times New Roman"/>
          <w:b/>
          <w:bCs/>
          <w:color w:val="000000"/>
          <w:sz w:val="44"/>
          <w:szCs w:val="44"/>
        </w:rPr>
        <w:t>第</w:t>
      </w:r>
      <w:r>
        <w:rPr>
          <w:rStyle w:val="29"/>
          <w:rFonts w:hint="default" w:ascii="Times New Roman" w:hAnsi="Times New Roman" w:eastAsia="方正小标宋简体" w:cs="Times New Roman"/>
        </w:rPr>
        <w:t>五部分 附表</w:t>
      </w:r>
      <w:bookmarkEnd w:id="65"/>
      <w:bookmarkEnd w:id="67"/>
    </w:p>
    <w:p>
      <w:pPr>
        <w:spacing w:line="570" w:lineRule="exact"/>
        <w:jc w:val="center"/>
        <w:outlineLvl w:val="0"/>
        <w:rPr>
          <w:rStyle w:val="29"/>
          <w:rFonts w:hint="default" w:ascii="Times New Roman" w:hAnsi="Times New Roman" w:eastAsia="黑体" w:cs="Times New Roman"/>
          <w:b w:val="0"/>
        </w:rPr>
      </w:pPr>
    </w:p>
    <w:p>
      <w:pPr>
        <w:pStyle w:val="4"/>
        <w:spacing w:before="0" w:after="0" w:line="570" w:lineRule="exact"/>
        <w:rPr>
          <w:rFonts w:hint="default" w:ascii="Times New Roman" w:hAnsi="Times New Roman" w:eastAsia="仿宋" w:cs="Times New Roman"/>
          <w:color w:val="000000"/>
        </w:rPr>
      </w:pPr>
      <w:bookmarkStart w:id="68" w:name="_Toc15396619"/>
      <w:r>
        <w:rPr>
          <w:rFonts w:hint="default" w:ascii="Times New Roman" w:hAnsi="Times New Roman" w:eastAsia="仿宋" w:cs="Times New Roman"/>
          <w:b w:val="0"/>
          <w:color w:val="000000"/>
        </w:rPr>
        <w:t>一、收</w:t>
      </w:r>
      <w:r>
        <w:rPr>
          <w:rStyle w:val="30"/>
          <w:rFonts w:hint="default" w:ascii="Times New Roman" w:hAnsi="Times New Roman" w:eastAsia="仿宋" w:cs="Times New Roman"/>
          <w:b w:val="0"/>
          <w:bCs w:val="0"/>
        </w:rPr>
        <w:t>入支出决算总表</w:t>
      </w:r>
      <w:bookmarkEnd w:id="68"/>
    </w:p>
    <w:p>
      <w:pPr>
        <w:pStyle w:val="4"/>
        <w:spacing w:before="0" w:after="0" w:line="570" w:lineRule="exact"/>
        <w:rPr>
          <w:rFonts w:hint="default" w:ascii="Times New Roman" w:hAnsi="Times New Roman" w:eastAsia="仿宋" w:cs="Times New Roman"/>
          <w:color w:val="000000"/>
        </w:rPr>
      </w:pPr>
      <w:bookmarkStart w:id="69" w:name="_Toc15396620"/>
      <w:r>
        <w:rPr>
          <w:rFonts w:hint="default" w:ascii="Times New Roman" w:hAnsi="Times New Roman" w:eastAsia="仿宋" w:cs="Times New Roman"/>
          <w:b w:val="0"/>
          <w:color w:val="000000"/>
        </w:rPr>
        <w:t>二、收</w:t>
      </w:r>
      <w:r>
        <w:rPr>
          <w:rStyle w:val="30"/>
          <w:rFonts w:hint="default" w:ascii="Times New Roman" w:hAnsi="Times New Roman" w:eastAsia="仿宋" w:cs="Times New Roman"/>
          <w:b w:val="0"/>
          <w:bCs w:val="0"/>
        </w:rPr>
        <w:t>入决算表</w:t>
      </w:r>
      <w:bookmarkEnd w:id="69"/>
    </w:p>
    <w:p>
      <w:pPr>
        <w:pStyle w:val="4"/>
        <w:spacing w:before="0" w:after="0" w:line="570" w:lineRule="exact"/>
        <w:rPr>
          <w:rFonts w:hint="default" w:ascii="Times New Roman" w:hAnsi="Times New Roman" w:eastAsia="仿宋" w:cs="Times New Roman"/>
          <w:color w:val="000000"/>
        </w:rPr>
      </w:pPr>
      <w:bookmarkStart w:id="70" w:name="_Toc15396621"/>
      <w:r>
        <w:rPr>
          <w:rStyle w:val="30"/>
          <w:rFonts w:hint="default" w:ascii="Times New Roman" w:hAnsi="Times New Roman" w:eastAsia="仿宋" w:cs="Times New Roman"/>
          <w:b w:val="0"/>
          <w:bCs w:val="0"/>
        </w:rPr>
        <w:t>三、</w:t>
      </w:r>
      <w:r>
        <w:rPr>
          <w:rFonts w:hint="default" w:ascii="Times New Roman" w:hAnsi="Times New Roman" w:eastAsia="仿宋" w:cs="Times New Roman"/>
          <w:b w:val="0"/>
          <w:color w:val="000000"/>
        </w:rPr>
        <w:t>支</w:t>
      </w:r>
      <w:r>
        <w:rPr>
          <w:rStyle w:val="30"/>
          <w:rFonts w:hint="default" w:ascii="Times New Roman" w:hAnsi="Times New Roman" w:eastAsia="仿宋" w:cs="Times New Roman"/>
          <w:b w:val="0"/>
          <w:bCs w:val="0"/>
        </w:rPr>
        <w:t>出决算表</w:t>
      </w:r>
      <w:bookmarkEnd w:id="70"/>
    </w:p>
    <w:p>
      <w:pPr>
        <w:pStyle w:val="4"/>
        <w:spacing w:before="0" w:after="0" w:line="570" w:lineRule="exact"/>
        <w:rPr>
          <w:rFonts w:hint="default" w:ascii="Times New Roman" w:hAnsi="Times New Roman" w:eastAsia="仿宋" w:cs="Times New Roman"/>
          <w:b w:val="0"/>
          <w:color w:val="000000"/>
        </w:rPr>
      </w:pPr>
      <w:bookmarkStart w:id="71" w:name="_Toc15396622"/>
      <w:r>
        <w:rPr>
          <w:rStyle w:val="30"/>
          <w:rFonts w:hint="default" w:ascii="Times New Roman" w:hAnsi="Times New Roman" w:eastAsia="仿宋" w:cs="Times New Roman"/>
          <w:b w:val="0"/>
          <w:bCs w:val="0"/>
        </w:rPr>
        <w:t>四、</w:t>
      </w:r>
      <w:r>
        <w:rPr>
          <w:rFonts w:hint="default" w:ascii="Times New Roman" w:hAnsi="Times New Roman" w:eastAsia="仿宋" w:cs="Times New Roman"/>
          <w:b w:val="0"/>
          <w:color w:val="000000"/>
        </w:rPr>
        <w:t>财</w:t>
      </w:r>
      <w:r>
        <w:rPr>
          <w:rStyle w:val="30"/>
          <w:rFonts w:hint="default" w:ascii="Times New Roman" w:hAnsi="Times New Roman" w:eastAsia="仿宋" w:cs="Times New Roman"/>
          <w:b w:val="0"/>
          <w:bCs w:val="0"/>
        </w:rPr>
        <w:t>政拨款收入支出决算总表</w:t>
      </w:r>
      <w:bookmarkEnd w:id="71"/>
    </w:p>
    <w:p>
      <w:pPr>
        <w:pStyle w:val="4"/>
        <w:spacing w:before="0" w:after="0" w:line="570" w:lineRule="exact"/>
        <w:rPr>
          <w:rStyle w:val="30"/>
          <w:rFonts w:hint="default" w:ascii="Times New Roman" w:hAnsi="Times New Roman" w:eastAsia="仿宋" w:cs="Times New Roman"/>
          <w:b w:val="0"/>
          <w:bCs w:val="0"/>
        </w:rPr>
      </w:pPr>
      <w:bookmarkStart w:id="72" w:name="_Toc15396623"/>
      <w:r>
        <w:rPr>
          <w:rStyle w:val="30"/>
          <w:rFonts w:hint="default" w:ascii="Times New Roman" w:hAnsi="Times New Roman" w:eastAsia="仿宋" w:cs="Times New Roman"/>
          <w:b w:val="0"/>
          <w:bCs w:val="0"/>
        </w:rPr>
        <w:t>五、</w:t>
      </w:r>
      <w:r>
        <w:rPr>
          <w:rFonts w:hint="default" w:ascii="Times New Roman" w:hAnsi="Times New Roman" w:eastAsia="仿宋" w:cs="Times New Roman"/>
          <w:b w:val="0"/>
          <w:color w:val="000000"/>
        </w:rPr>
        <w:t>财</w:t>
      </w:r>
      <w:r>
        <w:rPr>
          <w:rStyle w:val="30"/>
          <w:rFonts w:hint="default" w:ascii="Times New Roman" w:hAnsi="Times New Roman" w:eastAsia="仿宋" w:cs="Times New Roman"/>
          <w:b w:val="0"/>
          <w:bCs w:val="0"/>
        </w:rPr>
        <w:t>政拨款支出决算明细表</w:t>
      </w:r>
      <w:bookmarkEnd w:id="72"/>
      <w:bookmarkStart w:id="73" w:name="_Toc15396624"/>
    </w:p>
    <w:p>
      <w:pPr>
        <w:pStyle w:val="4"/>
        <w:spacing w:before="0" w:after="0" w:line="570" w:lineRule="exact"/>
        <w:rPr>
          <w:rFonts w:hint="default" w:ascii="Times New Roman" w:hAnsi="Times New Roman" w:eastAsia="仿宋" w:cs="Times New Roman"/>
          <w:color w:val="000000"/>
        </w:rPr>
      </w:pPr>
      <w:r>
        <w:rPr>
          <w:rStyle w:val="30"/>
          <w:rFonts w:hint="default" w:ascii="Times New Roman" w:hAnsi="Times New Roman" w:eastAsia="仿宋" w:cs="Times New Roman"/>
          <w:b w:val="0"/>
          <w:bCs w:val="0"/>
        </w:rPr>
        <w:t>六、</w:t>
      </w:r>
      <w:r>
        <w:rPr>
          <w:rFonts w:hint="default" w:ascii="Times New Roman" w:hAnsi="Times New Roman" w:eastAsia="仿宋" w:cs="Times New Roman"/>
          <w:b w:val="0"/>
          <w:color w:val="000000"/>
        </w:rPr>
        <w:t>一</w:t>
      </w:r>
      <w:r>
        <w:rPr>
          <w:rStyle w:val="30"/>
          <w:rFonts w:hint="default" w:ascii="Times New Roman" w:hAnsi="Times New Roman" w:eastAsia="仿宋" w:cs="Times New Roman"/>
          <w:b w:val="0"/>
          <w:bCs w:val="0"/>
        </w:rPr>
        <w:t>般公共预算财政拨款支出决算表</w:t>
      </w:r>
      <w:bookmarkEnd w:id="73"/>
    </w:p>
    <w:p>
      <w:pPr>
        <w:pStyle w:val="4"/>
        <w:spacing w:before="0" w:after="0" w:line="570" w:lineRule="exact"/>
        <w:rPr>
          <w:rFonts w:hint="default" w:ascii="Times New Roman" w:hAnsi="Times New Roman" w:eastAsia="仿宋" w:cs="Times New Roman"/>
          <w:color w:val="000000"/>
        </w:rPr>
      </w:pPr>
      <w:bookmarkStart w:id="74" w:name="_Toc15396625"/>
      <w:r>
        <w:rPr>
          <w:rStyle w:val="30"/>
          <w:rFonts w:hint="default" w:ascii="Times New Roman" w:hAnsi="Times New Roman" w:eastAsia="仿宋" w:cs="Times New Roman"/>
          <w:b w:val="0"/>
          <w:bCs w:val="0"/>
        </w:rPr>
        <w:t>七、</w:t>
      </w:r>
      <w:r>
        <w:rPr>
          <w:rFonts w:hint="default" w:ascii="Times New Roman" w:hAnsi="Times New Roman" w:eastAsia="仿宋" w:cs="Times New Roman"/>
          <w:b w:val="0"/>
          <w:color w:val="000000"/>
        </w:rPr>
        <w:t>一</w:t>
      </w:r>
      <w:r>
        <w:rPr>
          <w:rStyle w:val="30"/>
          <w:rFonts w:hint="default" w:ascii="Times New Roman" w:hAnsi="Times New Roman" w:eastAsia="仿宋" w:cs="Times New Roman"/>
          <w:b w:val="0"/>
          <w:bCs w:val="0"/>
        </w:rPr>
        <w:t>般公共预算财政拨款支出决算明细表</w:t>
      </w:r>
      <w:bookmarkEnd w:id="74"/>
    </w:p>
    <w:p>
      <w:pPr>
        <w:pStyle w:val="4"/>
        <w:spacing w:before="0" w:after="0" w:line="570" w:lineRule="exact"/>
        <w:rPr>
          <w:rFonts w:hint="default" w:ascii="Times New Roman" w:hAnsi="Times New Roman" w:eastAsia="仿宋" w:cs="Times New Roman"/>
          <w:color w:val="000000"/>
        </w:rPr>
      </w:pPr>
      <w:bookmarkStart w:id="75" w:name="_Toc15396626"/>
      <w:r>
        <w:rPr>
          <w:rStyle w:val="30"/>
          <w:rFonts w:hint="default" w:ascii="Times New Roman" w:hAnsi="Times New Roman" w:eastAsia="仿宋" w:cs="Times New Roman"/>
          <w:b w:val="0"/>
          <w:bCs w:val="0"/>
        </w:rPr>
        <w:t>八、</w:t>
      </w:r>
      <w:r>
        <w:rPr>
          <w:rFonts w:hint="default" w:ascii="Times New Roman" w:hAnsi="Times New Roman" w:eastAsia="仿宋" w:cs="Times New Roman"/>
          <w:b w:val="0"/>
          <w:color w:val="000000"/>
        </w:rPr>
        <w:t>一</w:t>
      </w:r>
      <w:r>
        <w:rPr>
          <w:rStyle w:val="30"/>
          <w:rFonts w:hint="default" w:ascii="Times New Roman" w:hAnsi="Times New Roman" w:eastAsia="仿宋" w:cs="Times New Roman"/>
          <w:b w:val="0"/>
          <w:bCs w:val="0"/>
        </w:rPr>
        <w:t>般公共预算财政拨款基本支出决算表</w:t>
      </w:r>
      <w:bookmarkEnd w:id="75"/>
    </w:p>
    <w:p>
      <w:pPr>
        <w:pStyle w:val="4"/>
        <w:spacing w:before="0" w:after="0" w:line="570" w:lineRule="exact"/>
        <w:rPr>
          <w:rFonts w:hint="default" w:ascii="Times New Roman" w:hAnsi="Times New Roman" w:eastAsia="仿宋" w:cs="Times New Roman"/>
          <w:color w:val="000000"/>
        </w:rPr>
      </w:pPr>
      <w:bookmarkStart w:id="76" w:name="_Toc15396627"/>
      <w:r>
        <w:rPr>
          <w:rStyle w:val="30"/>
          <w:rFonts w:hint="default" w:ascii="Times New Roman" w:hAnsi="Times New Roman" w:eastAsia="仿宋" w:cs="Times New Roman"/>
          <w:b w:val="0"/>
          <w:bCs w:val="0"/>
        </w:rPr>
        <w:t>九、</w:t>
      </w:r>
      <w:r>
        <w:rPr>
          <w:rFonts w:hint="default" w:ascii="Times New Roman" w:hAnsi="Times New Roman" w:eastAsia="仿宋" w:cs="Times New Roman"/>
          <w:b w:val="0"/>
          <w:color w:val="000000"/>
        </w:rPr>
        <w:t>一</w:t>
      </w:r>
      <w:r>
        <w:rPr>
          <w:rStyle w:val="30"/>
          <w:rFonts w:hint="default" w:ascii="Times New Roman" w:hAnsi="Times New Roman" w:eastAsia="仿宋" w:cs="Times New Roman"/>
          <w:b w:val="0"/>
          <w:bCs w:val="0"/>
        </w:rPr>
        <w:t>般公共预算财政拨款项目支出决算表</w:t>
      </w:r>
      <w:bookmarkEnd w:id="76"/>
    </w:p>
    <w:p>
      <w:pPr>
        <w:pStyle w:val="4"/>
        <w:spacing w:before="0" w:after="0" w:line="570" w:lineRule="exact"/>
        <w:rPr>
          <w:rFonts w:hint="default" w:ascii="Times New Roman" w:hAnsi="Times New Roman" w:eastAsia="仿宋" w:cs="Times New Roman"/>
          <w:color w:val="000000"/>
        </w:rPr>
      </w:pPr>
      <w:bookmarkStart w:id="77" w:name="_Toc15396628"/>
      <w:r>
        <w:rPr>
          <w:rStyle w:val="30"/>
          <w:rFonts w:hint="default" w:ascii="Times New Roman" w:hAnsi="Times New Roman" w:eastAsia="仿宋" w:cs="Times New Roman"/>
          <w:b w:val="0"/>
          <w:bCs w:val="0"/>
        </w:rPr>
        <w:t>十、</w:t>
      </w:r>
      <w:r>
        <w:rPr>
          <w:rFonts w:hint="default" w:ascii="Times New Roman" w:hAnsi="Times New Roman" w:eastAsia="仿宋" w:cs="Times New Roman"/>
          <w:b w:val="0"/>
          <w:color w:val="000000"/>
        </w:rPr>
        <w:t>一</w:t>
      </w:r>
      <w:r>
        <w:rPr>
          <w:rStyle w:val="30"/>
          <w:rFonts w:hint="default" w:ascii="Times New Roman" w:hAnsi="Times New Roman" w:eastAsia="仿宋" w:cs="Times New Roman"/>
          <w:b w:val="0"/>
          <w:bCs w:val="0"/>
        </w:rPr>
        <w:t>般公共预算财政拨款“三公”经费支出决算表</w:t>
      </w:r>
      <w:bookmarkEnd w:id="77"/>
    </w:p>
    <w:p>
      <w:pPr>
        <w:pStyle w:val="4"/>
        <w:spacing w:before="0" w:after="0" w:line="570" w:lineRule="exact"/>
        <w:rPr>
          <w:rFonts w:hint="default" w:ascii="Times New Roman" w:hAnsi="Times New Roman" w:eastAsia="仿宋" w:cs="Times New Roman"/>
          <w:color w:val="000000"/>
        </w:rPr>
      </w:pPr>
      <w:bookmarkStart w:id="78" w:name="_Toc15396629"/>
      <w:r>
        <w:rPr>
          <w:rStyle w:val="30"/>
          <w:rFonts w:hint="default" w:ascii="Times New Roman" w:hAnsi="Times New Roman" w:eastAsia="仿宋" w:cs="Times New Roman"/>
          <w:b w:val="0"/>
          <w:bCs w:val="0"/>
        </w:rPr>
        <w:t>十一、</w:t>
      </w:r>
      <w:r>
        <w:rPr>
          <w:rFonts w:hint="default" w:ascii="Times New Roman" w:hAnsi="Times New Roman" w:eastAsia="仿宋" w:cs="Times New Roman"/>
          <w:b w:val="0"/>
          <w:color w:val="000000"/>
        </w:rPr>
        <w:t>政</w:t>
      </w:r>
      <w:r>
        <w:rPr>
          <w:rStyle w:val="30"/>
          <w:rFonts w:hint="default" w:ascii="Times New Roman" w:hAnsi="Times New Roman" w:eastAsia="仿宋" w:cs="Times New Roman"/>
          <w:b w:val="0"/>
          <w:bCs w:val="0"/>
        </w:rPr>
        <w:t>府性基金预算财政拨款收入支出决算表</w:t>
      </w:r>
      <w:bookmarkEnd w:id="78"/>
    </w:p>
    <w:p>
      <w:pPr>
        <w:pStyle w:val="4"/>
        <w:spacing w:before="0" w:after="0" w:line="570" w:lineRule="exact"/>
        <w:rPr>
          <w:rFonts w:hint="default" w:ascii="Times New Roman" w:hAnsi="Times New Roman" w:eastAsia="仿宋" w:cs="Times New Roman"/>
          <w:color w:val="000000"/>
        </w:rPr>
      </w:pPr>
      <w:bookmarkStart w:id="79" w:name="_Toc15396630"/>
      <w:r>
        <w:rPr>
          <w:rStyle w:val="30"/>
          <w:rFonts w:hint="default" w:ascii="Times New Roman" w:hAnsi="Times New Roman" w:eastAsia="仿宋" w:cs="Times New Roman"/>
          <w:b w:val="0"/>
          <w:bCs w:val="0"/>
        </w:rPr>
        <w:t>十二、</w:t>
      </w:r>
      <w:r>
        <w:rPr>
          <w:rFonts w:hint="default" w:ascii="Times New Roman" w:hAnsi="Times New Roman" w:eastAsia="仿宋" w:cs="Times New Roman"/>
          <w:b w:val="0"/>
          <w:color w:val="000000"/>
        </w:rPr>
        <w:t>政</w:t>
      </w:r>
      <w:r>
        <w:rPr>
          <w:rStyle w:val="30"/>
          <w:rFonts w:hint="default" w:ascii="Times New Roman" w:hAnsi="Times New Roman" w:eastAsia="仿宋" w:cs="Times New Roman"/>
          <w:b w:val="0"/>
          <w:bCs w:val="0"/>
        </w:rPr>
        <w:t>府性基金预算财政拨款“三公”经费支出决算表</w:t>
      </w:r>
      <w:bookmarkEnd w:id="79"/>
    </w:p>
    <w:p>
      <w:pPr>
        <w:pStyle w:val="4"/>
        <w:spacing w:before="0" w:after="0" w:line="570" w:lineRule="exact"/>
        <w:rPr>
          <w:rStyle w:val="30"/>
          <w:rFonts w:hint="default" w:ascii="Times New Roman" w:hAnsi="Times New Roman" w:eastAsia="仿宋" w:cs="Times New Roman"/>
          <w:b w:val="0"/>
          <w:bCs w:val="0"/>
          <w:highlight w:val="none"/>
        </w:rPr>
      </w:pPr>
      <w:r>
        <w:rPr>
          <w:rStyle w:val="30"/>
          <w:rFonts w:hint="default" w:ascii="Times New Roman" w:hAnsi="Times New Roman" w:eastAsia="仿宋" w:cs="Times New Roman"/>
          <w:b w:val="0"/>
          <w:bCs w:val="0"/>
          <w:highlight w:val="none"/>
        </w:rPr>
        <w:t>十三、国有资本经营预算财政拨款收入支出决算表</w:t>
      </w:r>
    </w:p>
    <w:p>
      <w:pPr>
        <w:pStyle w:val="4"/>
        <w:spacing w:before="0" w:after="0" w:line="570" w:lineRule="exact"/>
        <w:rPr>
          <w:rFonts w:hint="default" w:ascii="Times New Roman" w:hAnsi="Times New Roman" w:eastAsia="仿宋" w:cs="Times New Roman"/>
          <w:color w:val="000000" w:themeColor="text1"/>
          <w:highlight w:val="none"/>
          <w14:textFill>
            <w14:solidFill>
              <w14:schemeClr w14:val="tx1"/>
            </w14:solidFill>
          </w14:textFill>
        </w:rPr>
      </w:pPr>
      <w:r>
        <w:rPr>
          <w:rStyle w:val="30"/>
          <w:rFonts w:hint="default" w:ascii="Times New Roman" w:hAnsi="Times New Roman" w:eastAsia="仿宋" w:cs="Times New Roman"/>
          <w:b w:val="0"/>
          <w:bCs w:val="0"/>
          <w:highlight w:val="none"/>
        </w:rPr>
        <w:t>十四、国有资本经营预算财政拨款支出决算表</w:t>
      </w:r>
    </w:p>
    <w:sectPr>
      <w:pgSz w:w="11906" w:h="16838"/>
      <w:pgMar w:top="2098" w:right="1474" w:bottom="1984" w:left="1587" w:header="851" w:footer="1134" w:gutter="0"/>
      <w:pgNumType w:fmt="decimal"/>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wps:txbx>
                    <wps:bodyPr wrap="none" lIns="0" tIns="0" rIns="0" bIns="0" upright="true">
                      <a:spAutoFit/>
                    </wps:bodyPr>
                  </wps:wsp>
                </a:graphicData>
              </a:graphic>
            </wp:anchor>
          </w:drawing>
        </mc:Choice>
        <mc:Fallback>
          <w:pict>
            <v:shape id="文本框 1"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Rx7Z+xAQAAUQMAAA4AAABkcnMv&#10;ZTJvRG9jLnhtbK1TS44TMRDdI3EHy/uJO1mMolac0YxGg5AQIA0cwHHbaUv+qeykOxeAG7Biw55z&#10;5RyUnXTmww6xccpVlVfvvXKvbkZnyV5BMsFzOp81lCgvQ2f8ltOvXx6ulpSkLHwnbPCK04NK9Gb9&#10;9s1qiK1ahD7YTgFBEJ/aIXLa5xxbxpLslRNpFqLyWNQBnMh4hS3rQAyI7ixbNM01GwJ0EYJUKWH2&#10;/lSk64qvtZL5k9ZJZWI5RW65nlDPTTnZeiXaLYjYG3mmIf6BhRPG49AL1L3IguzA/AXljISQgs4z&#10;GRwLWhupqgZUM29eqXnsRVRVC5qT4sWm9P9g5cf9ZyCm43RBiRcOV3T88f348/fx1zcyL/YMMbXY&#10;9RixL493YeQ0w05NpYT5InzU4MovSiLYgl4fLv6qMROJyflysVw2WJJYmy44gj39PULK71RwpASc&#10;Ai6w+ir2H1I+tU4tZZoPD8baukTrXyQQs2RYoX/iWKI8bsazpk3oDihpwN1z6vFxUmLfe7S2PJMp&#10;gCnYTMEugtn2SK2aUEameLvLyKPSK0NOyOfZuLcq8PzGysN4fq9dT1/C+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VHHtn7EBAABRAwAADgAAAAAAAAABACAAAAA0AQAAZHJzL2Uyb0RvYy54&#10;bWxQSwUGAAAAAAYABgBZAQAAVwUAAAAA&#10;">
              <v:fill on="f" focussize="0,0"/>
              <v:stroke on="f"/>
              <v:imagedata o:title=""/>
              <o:lock v:ext="edit" aspectratio="f"/>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wps:txbx>
                    <wps:bodyPr wrap="none" lIns="0" tIns="0" rIns="0" bIns="0" upright="true">
                      <a:spAutoFit/>
                    </wps:bodyPr>
                  </wps:wsp>
                </a:graphicData>
              </a:graphic>
            </wp:anchor>
          </w:drawing>
        </mc:Choice>
        <mc:Fallback>
          <w:pict>
            <v:shape id="文本框 2"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x4TVGyAQAAUQMAAA4AAABkcnMv&#10;ZTJvRG9jLnhtbK1TS4obMRDdB+YOQvux2mYIprE8TBgmDIQkMMkBZLXkFuhHSXa3L5DcIKtsss+5&#10;fI6UZLcnn12YjVyqKr9675V6dTs6S/YKkgme0/msoUR5GTrjt5x+/vRwvaQkZeE7YYNXnB5Uorfr&#10;q1erIbZqEfpgOwUEQXxqh8hpn3NsGUuyV06kWYjKY1EHcCLjFbasAzEgurNs0TSv2RCgixCkSgmz&#10;96ciXVd8rZXMH7ROKhPLKXLL9YR6bsrJ1ivRbkHE3sgzDfEfLJwwHodeoO5FFmQH5h8oZySEFHSe&#10;yeBY0NpIVTWgmnnzl5qnXkRVtaA5KV5sSi8HK9/vPwIxHac3lHjhcEXHb1+P338ef3whi2LPEFOL&#10;XU8R+/L4JoycZtipqZQwX4SPGlz5RUkEW9Drw8VfNWYiMTlfLpbLBksSa9MFR7Dnv0dI+a0KjpSA&#10;U8AFVl/F/l3Kp9appUzz4cFYW5do/R8JxCwZVuifOJYoj5vxrGkTugNKGnD3nHp8nJTYR4/Wlmcy&#10;BTAFmynYRTDbHqlVE8rIFO92GXlUemXICfk8G/dWBZ7fWHkYv99r1/OXs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Nx4TVGyAQAAUQMAAA4AAAAAAAAAAQAgAAAANAEAAGRycy9lMm9Eb2Mu&#10;eG1sUEsFBgAAAAAGAAYAWQEAAFgFAAAAAA==&#10;">
              <v:fill on="f" focussize="0,0"/>
              <v:stroke on="f"/>
              <v:imagedata o:title=""/>
              <o:lock v:ext="edit" aspectratio="f"/>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DDED0"/>
    <w:multiLevelType w:val="multilevel"/>
    <w:tmpl w:val="A49DDED0"/>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42E8F4E"/>
    <w:multiLevelType w:val="multilevel"/>
    <w:tmpl w:val="D42E8F4E"/>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F51C0952"/>
    <w:multiLevelType w:val="multilevel"/>
    <w:tmpl w:val="F51C0952"/>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FB113302"/>
    <w:multiLevelType w:val="multilevel"/>
    <w:tmpl w:val="FB113302"/>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358C5D93"/>
    <w:multiLevelType w:val="multilevel"/>
    <w:tmpl w:val="358C5D93"/>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6">
    <w:nsid w:val="4BA61241"/>
    <w:multiLevelType w:val="multilevel"/>
    <w:tmpl w:val="4BA61241"/>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7">
    <w:nsid w:val="56855E9B"/>
    <w:multiLevelType w:val="multilevel"/>
    <w:tmpl w:val="56855E9B"/>
    <w:lvl w:ilvl="0" w:tentative="0">
      <w:start w:val="3"/>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8">
    <w:nsid w:val="5F4469CA"/>
    <w:multiLevelType w:val="singleLevel"/>
    <w:tmpl w:val="5F4469CA"/>
    <w:lvl w:ilvl="0" w:tentative="0">
      <w:start w:val="1"/>
      <w:numFmt w:val="decimal"/>
      <w:suff w:val="nothing"/>
      <w:lvlText w:val="%1."/>
      <w:lvlJc w:val="left"/>
    </w:lvl>
  </w:abstractNum>
  <w:abstractNum w:abstractNumId="9">
    <w:nsid w:val="644D9933"/>
    <w:multiLevelType w:val="multilevel"/>
    <w:tmpl w:val="644D9933"/>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8"/>
  </w:num>
  <w:num w:numId="3">
    <w:abstractNumId w:val="6"/>
  </w:num>
  <w:num w:numId="4">
    <w:abstractNumId w:val="0"/>
  </w:num>
  <w:num w:numId="5">
    <w:abstractNumId w:val="3"/>
  </w:num>
  <w:num w:numId="6">
    <w:abstractNumId w:val="4"/>
  </w:num>
  <w:num w:numId="7">
    <w:abstractNumId w:val="5"/>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0043D"/>
    <w:rsid w:val="00001BC2"/>
    <w:rsid w:val="0002073B"/>
    <w:rsid w:val="000222C6"/>
    <w:rsid w:val="0002549F"/>
    <w:rsid w:val="000468DB"/>
    <w:rsid w:val="00050BA6"/>
    <w:rsid w:val="0006487A"/>
    <w:rsid w:val="00065F8F"/>
    <w:rsid w:val="0006663D"/>
    <w:rsid w:val="00066B91"/>
    <w:rsid w:val="00070A43"/>
    <w:rsid w:val="000768F2"/>
    <w:rsid w:val="00082BBA"/>
    <w:rsid w:val="0009184B"/>
    <w:rsid w:val="00094236"/>
    <w:rsid w:val="0009593C"/>
    <w:rsid w:val="00097322"/>
    <w:rsid w:val="000A6A92"/>
    <w:rsid w:val="000B047F"/>
    <w:rsid w:val="000B2657"/>
    <w:rsid w:val="000B5923"/>
    <w:rsid w:val="000B5A48"/>
    <w:rsid w:val="000B6FF3"/>
    <w:rsid w:val="000C3467"/>
    <w:rsid w:val="000C3CA6"/>
    <w:rsid w:val="000D1267"/>
    <w:rsid w:val="000D1D50"/>
    <w:rsid w:val="000D5782"/>
    <w:rsid w:val="000E6613"/>
    <w:rsid w:val="000E7119"/>
    <w:rsid w:val="00114E9B"/>
    <w:rsid w:val="001252EE"/>
    <w:rsid w:val="0012605B"/>
    <w:rsid w:val="00126A59"/>
    <w:rsid w:val="00142216"/>
    <w:rsid w:val="00144D6A"/>
    <w:rsid w:val="0014729F"/>
    <w:rsid w:val="00157BAB"/>
    <w:rsid w:val="001654D1"/>
    <w:rsid w:val="00174518"/>
    <w:rsid w:val="0018106D"/>
    <w:rsid w:val="00182A93"/>
    <w:rsid w:val="001877A7"/>
    <w:rsid w:val="00191536"/>
    <w:rsid w:val="001926B2"/>
    <w:rsid w:val="00196687"/>
    <w:rsid w:val="001C0962"/>
    <w:rsid w:val="001C2855"/>
    <w:rsid w:val="001C3DFA"/>
    <w:rsid w:val="001D7531"/>
    <w:rsid w:val="001E737D"/>
    <w:rsid w:val="001F0592"/>
    <w:rsid w:val="001F7506"/>
    <w:rsid w:val="002006CD"/>
    <w:rsid w:val="00202B36"/>
    <w:rsid w:val="00203639"/>
    <w:rsid w:val="00204B7A"/>
    <w:rsid w:val="00204CDE"/>
    <w:rsid w:val="00210A28"/>
    <w:rsid w:val="0021101A"/>
    <w:rsid w:val="00214423"/>
    <w:rsid w:val="00220536"/>
    <w:rsid w:val="00235629"/>
    <w:rsid w:val="00260C38"/>
    <w:rsid w:val="002616C0"/>
    <w:rsid w:val="00265372"/>
    <w:rsid w:val="002662AA"/>
    <w:rsid w:val="00276F08"/>
    <w:rsid w:val="00280496"/>
    <w:rsid w:val="00294DC9"/>
    <w:rsid w:val="00295495"/>
    <w:rsid w:val="002A2197"/>
    <w:rsid w:val="002A31DE"/>
    <w:rsid w:val="002B1E2A"/>
    <w:rsid w:val="002B2613"/>
    <w:rsid w:val="002C7BFB"/>
    <w:rsid w:val="002D19B0"/>
    <w:rsid w:val="002D6D05"/>
    <w:rsid w:val="002D7B0F"/>
    <w:rsid w:val="002F1744"/>
    <w:rsid w:val="002F1818"/>
    <w:rsid w:val="002F567B"/>
    <w:rsid w:val="00300720"/>
    <w:rsid w:val="00313CFB"/>
    <w:rsid w:val="003216A9"/>
    <w:rsid w:val="00335A74"/>
    <w:rsid w:val="0036561B"/>
    <w:rsid w:val="0037013F"/>
    <w:rsid w:val="003703FD"/>
    <w:rsid w:val="00376873"/>
    <w:rsid w:val="00380C92"/>
    <w:rsid w:val="003A273C"/>
    <w:rsid w:val="003A484F"/>
    <w:rsid w:val="003A4883"/>
    <w:rsid w:val="003B0BE0"/>
    <w:rsid w:val="003B0C1B"/>
    <w:rsid w:val="003B688C"/>
    <w:rsid w:val="003B7F5F"/>
    <w:rsid w:val="003C0291"/>
    <w:rsid w:val="003C39AE"/>
    <w:rsid w:val="003C7B60"/>
    <w:rsid w:val="003D0C0F"/>
    <w:rsid w:val="003D1FB2"/>
    <w:rsid w:val="003D30FF"/>
    <w:rsid w:val="003D66DA"/>
    <w:rsid w:val="003D79C6"/>
    <w:rsid w:val="003E0938"/>
    <w:rsid w:val="003E1310"/>
    <w:rsid w:val="003E5A62"/>
    <w:rsid w:val="003E6F55"/>
    <w:rsid w:val="003F3792"/>
    <w:rsid w:val="003F3990"/>
    <w:rsid w:val="00406254"/>
    <w:rsid w:val="004223DE"/>
    <w:rsid w:val="00434489"/>
    <w:rsid w:val="00437085"/>
    <w:rsid w:val="00443880"/>
    <w:rsid w:val="004464F4"/>
    <w:rsid w:val="00462183"/>
    <w:rsid w:val="00471401"/>
    <w:rsid w:val="00473F31"/>
    <w:rsid w:val="0048263A"/>
    <w:rsid w:val="00487E5D"/>
    <w:rsid w:val="00490CAA"/>
    <w:rsid w:val="004919F2"/>
    <w:rsid w:val="0049393B"/>
    <w:rsid w:val="004A2E57"/>
    <w:rsid w:val="004A711F"/>
    <w:rsid w:val="004B199D"/>
    <w:rsid w:val="004B4690"/>
    <w:rsid w:val="004E0A2D"/>
    <w:rsid w:val="004E206B"/>
    <w:rsid w:val="004E337A"/>
    <w:rsid w:val="004E6DF7"/>
    <w:rsid w:val="004F0FBD"/>
    <w:rsid w:val="004F403E"/>
    <w:rsid w:val="0050524A"/>
    <w:rsid w:val="00505A47"/>
    <w:rsid w:val="00512FDA"/>
    <w:rsid w:val="00520DA0"/>
    <w:rsid w:val="00522914"/>
    <w:rsid w:val="00535AB0"/>
    <w:rsid w:val="005458F6"/>
    <w:rsid w:val="005664BB"/>
    <w:rsid w:val="00566FFA"/>
    <w:rsid w:val="00571280"/>
    <w:rsid w:val="005742A2"/>
    <w:rsid w:val="0057481D"/>
    <w:rsid w:val="00575F0B"/>
    <w:rsid w:val="0058486E"/>
    <w:rsid w:val="00585B33"/>
    <w:rsid w:val="0059014D"/>
    <w:rsid w:val="005A3265"/>
    <w:rsid w:val="005B5C64"/>
    <w:rsid w:val="005C19AC"/>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2564"/>
    <w:rsid w:val="006440E4"/>
    <w:rsid w:val="00647652"/>
    <w:rsid w:val="006626B1"/>
    <w:rsid w:val="0066343B"/>
    <w:rsid w:val="00664777"/>
    <w:rsid w:val="006748A4"/>
    <w:rsid w:val="00681A31"/>
    <w:rsid w:val="00683766"/>
    <w:rsid w:val="00683E73"/>
    <w:rsid w:val="00686D26"/>
    <w:rsid w:val="006936EA"/>
    <w:rsid w:val="00696617"/>
    <w:rsid w:val="006A1ED8"/>
    <w:rsid w:val="006A3141"/>
    <w:rsid w:val="006A5E34"/>
    <w:rsid w:val="006B2422"/>
    <w:rsid w:val="006B2B9A"/>
    <w:rsid w:val="006C1937"/>
    <w:rsid w:val="006C27DE"/>
    <w:rsid w:val="006D0781"/>
    <w:rsid w:val="006F020C"/>
    <w:rsid w:val="00707012"/>
    <w:rsid w:val="007101FC"/>
    <w:rsid w:val="007127B7"/>
    <w:rsid w:val="0071798E"/>
    <w:rsid w:val="00726DA9"/>
    <w:rsid w:val="00727533"/>
    <w:rsid w:val="007416B6"/>
    <w:rsid w:val="00746F48"/>
    <w:rsid w:val="0075404D"/>
    <w:rsid w:val="0076182A"/>
    <w:rsid w:val="0076590B"/>
    <w:rsid w:val="007678F9"/>
    <w:rsid w:val="00767B7E"/>
    <w:rsid w:val="007770C3"/>
    <w:rsid w:val="00784D24"/>
    <w:rsid w:val="00785FBA"/>
    <w:rsid w:val="00786E4A"/>
    <w:rsid w:val="007875EB"/>
    <w:rsid w:val="0079426B"/>
    <w:rsid w:val="007C05B2"/>
    <w:rsid w:val="007D1682"/>
    <w:rsid w:val="007D312A"/>
    <w:rsid w:val="007D3F19"/>
    <w:rsid w:val="007E21D9"/>
    <w:rsid w:val="007E23B0"/>
    <w:rsid w:val="007E5009"/>
    <w:rsid w:val="007E5303"/>
    <w:rsid w:val="007F1991"/>
    <w:rsid w:val="007F2C2F"/>
    <w:rsid w:val="007F55FC"/>
    <w:rsid w:val="007F5665"/>
    <w:rsid w:val="00800112"/>
    <w:rsid w:val="00813348"/>
    <w:rsid w:val="008253BB"/>
    <w:rsid w:val="0082740C"/>
    <w:rsid w:val="0083706E"/>
    <w:rsid w:val="008408F6"/>
    <w:rsid w:val="008423A5"/>
    <w:rsid w:val="00846F04"/>
    <w:rsid w:val="00850625"/>
    <w:rsid w:val="00853718"/>
    <w:rsid w:val="00855221"/>
    <w:rsid w:val="00860645"/>
    <w:rsid w:val="00871F71"/>
    <w:rsid w:val="00872FD8"/>
    <w:rsid w:val="008800FE"/>
    <w:rsid w:val="00885AF4"/>
    <w:rsid w:val="008939CD"/>
    <w:rsid w:val="008B768C"/>
    <w:rsid w:val="008C4DB1"/>
    <w:rsid w:val="008C4EAF"/>
    <w:rsid w:val="008C5176"/>
    <w:rsid w:val="008C7FD0"/>
    <w:rsid w:val="008D27E9"/>
    <w:rsid w:val="008E1DE7"/>
    <w:rsid w:val="008E707C"/>
    <w:rsid w:val="00900B08"/>
    <w:rsid w:val="00902155"/>
    <w:rsid w:val="00902FA3"/>
    <w:rsid w:val="00904AA0"/>
    <w:rsid w:val="00917BA3"/>
    <w:rsid w:val="00922580"/>
    <w:rsid w:val="00923564"/>
    <w:rsid w:val="0092392E"/>
    <w:rsid w:val="00923E41"/>
    <w:rsid w:val="009315F9"/>
    <w:rsid w:val="00933499"/>
    <w:rsid w:val="00935B8F"/>
    <w:rsid w:val="00935C98"/>
    <w:rsid w:val="00946945"/>
    <w:rsid w:val="00951248"/>
    <w:rsid w:val="0095152F"/>
    <w:rsid w:val="00954C49"/>
    <w:rsid w:val="00955E37"/>
    <w:rsid w:val="00961CB2"/>
    <w:rsid w:val="009676AF"/>
    <w:rsid w:val="0097099F"/>
    <w:rsid w:val="00971997"/>
    <w:rsid w:val="00971FFC"/>
    <w:rsid w:val="0098660A"/>
    <w:rsid w:val="009931C3"/>
    <w:rsid w:val="009B2C43"/>
    <w:rsid w:val="009B4EAE"/>
    <w:rsid w:val="009B60E5"/>
    <w:rsid w:val="009B7573"/>
    <w:rsid w:val="009C22F4"/>
    <w:rsid w:val="009C2E98"/>
    <w:rsid w:val="009C37FB"/>
    <w:rsid w:val="009D3447"/>
    <w:rsid w:val="009D4711"/>
    <w:rsid w:val="009D561C"/>
    <w:rsid w:val="009F1185"/>
    <w:rsid w:val="009F18CD"/>
    <w:rsid w:val="009F2A13"/>
    <w:rsid w:val="009F64C2"/>
    <w:rsid w:val="009F7527"/>
    <w:rsid w:val="009F7D80"/>
    <w:rsid w:val="00A039ED"/>
    <w:rsid w:val="00A04EB0"/>
    <w:rsid w:val="00A13CC1"/>
    <w:rsid w:val="00A16847"/>
    <w:rsid w:val="00A2046A"/>
    <w:rsid w:val="00A237D8"/>
    <w:rsid w:val="00A268C4"/>
    <w:rsid w:val="00A307CD"/>
    <w:rsid w:val="00A331C8"/>
    <w:rsid w:val="00A35117"/>
    <w:rsid w:val="00A408AC"/>
    <w:rsid w:val="00A40A00"/>
    <w:rsid w:val="00A4142F"/>
    <w:rsid w:val="00A422EB"/>
    <w:rsid w:val="00A45BB7"/>
    <w:rsid w:val="00A56DF2"/>
    <w:rsid w:val="00A56E6E"/>
    <w:rsid w:val="00A66ED7"/>
    <w:rsid w:val="00A67AB5"/>
    <w:rsid w:val="00A733B2"/>
    <w:rsid w:val="00A73A1C"/>
    <w:rsid w:val="00A741C2"/>
    <w:rsid w:val="00A828A6"/>
    <w:rsid w:val="00A91760"/>
    <w:rsid w:val="00A93B00"/>
    <w:rsid w:val="00A93C21"/>
    <w:rsid w:val="00A97A4B"/>
    <w:rsid w:val="00AA37BE"/>
    <w:rsid w:val="00AB64C9"/>
    <w:rsid w:val="00AC3C6A"/>
    <w:rsid w:val="00AD5620"/>
    <w:rsid w:val="00AD656B"/>
    <w:rsid w:val="00AD730B"/>
    <w:rsid w:val="00AD7C1B"/>
    <w:rsid w:val="00AE16BA"/>
    <w:rsid w:val="00AE1EBE"/>
    <w:rsid w:val="00B03C9D"/>
    <w:rsid w:val="00B047FF"/>
    <w:rsid w:val="00B060AE"/>
    <w:rsid w:val="00B10517"/>
    <w:rsid w:val="00B14E76"/>
    <w:rsid w:val="00B161B8"/>
    <w:rsid w:val="00B2048C"/>
    <w:rsid w:val="00B310B9"/>
    <w:rsid w:val="00B35F3F"/>
    <w:rsid w:val="00B36CBB"/>
    <w:rsid w:val="00B425E0"/>
    <w:rsid w:val="00B440AA"/>
    <w:rsid w:val="00B44B70"/>
    <w:rsid w:val="00B4790E"/>
    <w:rsid w:val="00B51AA7"/>
    <w:rsid w:val="00B53C56"/>
    <w:rsid w:val="00B54532"/>
    <w:rsid w:val="00B57DAF"/>
    <w:rsid w:val="00B61C60"/>
    <w:rsid w:val="00B77EA6"/>
    <w:rsid w:val="00B81598"/>
    <w:rsid w:val="00B841F1"/>
    <w:rsid w:val="00B944D6"/>
    <w:rsid w:val="00BB4DF0"/>
    <w:rsid w:val="00BC289F"/>
    <w:rsid w:val="00BC2D50"/>
    <w:rsid w:val="00BC3A0A"/>
    <w:rsid w:val="00BC5361"/>
    <w:rsid w:val="00BC5460"/>
    <w:rsid w:val="00BC6B50"/>
    <w:rsid w:val="00BC7D83"/>
    <w:rsid w:val="00BD0E25"/>
    <w:rsid w:val="00BD4477"/>
    <w:rsid w:val="00BF5BD6"/>
    <w:rsid w:val="00C03E31"/>
    <w:rsid w:val="00C06A0F"/>
    <w:rsid w:val="00C33E72"/>
    <w:rsid w:val="00C3438C"/>
    <w:rsid w:val="00C354B2"/>
    <w:rsid w:val="00C35554"/>
    <w:rsid w:val="00C42709"/>
    <w:rsid w:val="00C46626"/>
    <w:rsid w:val="00C533CC"/>
    <w:rsid w:val="00C5751C"/>
    <w:rsid w:val="00C6029A"/>
    <w:rsid w:val="00C61BFC"/>
    <w:rsid w:val="00C62B85"/>
    <w:rsid w:val="00C65438"/>
    <w:rsid w:val="00C6564B"/>
    <w:rsid w:val="00C702E8"/>
    <w:rsid w:val="00C91CBB"/>
    <w:rsid w:val="00C96947"/>
    <w:rsid w:val="00CA68CC"/>
    <w:rsid w:val="00CB4E70"/>
    <w:rsid w:val="00CC09B6"/>
    <w:rsid w:val="00CC666F"/>
    <w:rsid w:val="00CD1E3F"/>
    <w:rsid w:val="00CE44F6"/>
    <w:rsid w:val="00CE49DA"/>
    <w:rsid w:val="00CE6D73"/>
    <w:rsid w:val="00CE7B61"/>
    <w:rsid w:val="00CF4ECD"/>
    <w:rsid w:val="00D00095"/>
    <w:rsid w:val="00D114F0"/>
    <w:rsid w:val="00D14BE3"/>
    <w:rsid w:val="00D20620"/>
    <w:rsid w:val="00D254F7"/>
    <w:rsid w:val="00D26091"/>
    <w:rsid w:val="00D2685C"/>
    <w:rsid w:val="00D34E7C"/>
    <w:rsid w:val="00D35489"/>
    <w:rsid w:val="00D36AFE"/>
    <w:rsid w:val="00D51276"/>
    <w:rsid w:val="00D65908"/>
    <w:rsid w:val="00D7035F"/>
    <w:rsid w:val="00D8193D"/>
    <w:rsid w:val="00D8271C"/>
    <w:rsid w:val="00DA2674"/>
    <w:rsid w:val="00DA6097"/>
    <w:rsid w:val="00DA634F"/>
    <w:rsid w:val="00DA65AC"/>
    <w:rsid w:val="00DB1913"/>
    <w:rsid w:val="00DC244A"/>
    <w:rsid w:val="00DC3624"/>
    <w:rsid w:val="00DC410D"/>
    <w:rsid w:val="00DC5A81"/>
    <w:rsid w:val="00DC68CA"/>
    <w:rsid w:val="00DC7CBA"/>
    <w:rsid w:val="00DD73B7"/>
    <w:rsid w:val="00DF106C"/>
    <w:rsid w:val="00DF17CE"/>
    <w:rsid w:val="00DF28BC"/>
    <w:rsid w:val="00DF34B9"/>
    <w:rsid w:val="00E01053"/>
    <w:rsid w:val="00E07ACF"/>
    <w:rsid w:val="00E2687D"/>
    <w:rsid w:val="00E31FEB"/>
    <w:rsid w:val="00E331A1"/>
    <w:rsid w:val="00E33202"/>
    <w:rsid w:val="00E336A9"/>
    <w:rsid w:val="00E33E92"/>
    <w:rsid w:val="00E44714"/>
    <w:rsid w:val="00E472B1"/>
    <w:rsid w:val="00E50624"/>
    <w:rsid w:val="00E515BE"/>
    <w:rsid w:val="00E548B9"/>
    <w:rsid w:val="00E568DF"/>
    <w:rsid w:val="00E64269"/>
    <w:rsid w:val="00E66797"/>
    <w:rsid w:val="00E728FE"/>
    <w:rsid w:val="00E82267"/>
    <w:rsid w:val="00E853CE"/>
    <w:rsid w:val="00E867B6"/>
    <w:rsid w:val="00E87F08"/>
    <w:rsid w:val="00EA010F"/>
    <w:rsid w:val="00ED1B63"/>
    <w:rsid w:val="00ED3C1F"/>
    <w:rsid w:val="00ED4085"/>
    <w:rsid w:val="00ED420E"/>
    <w:rsid w:val="00ED6FBE"/>
    <w:rsid w:val="00EE2F57"/>
    <w:rsid w:val="00EF4C34"/>
    <w:rsid w:val="00EF77C6"/>
    <w:rsid w:val="00F007B2"/>
    <w:rsid w:val="00F01FC4"/>
    <w:rsid w:val="00F05438"/>
    <w:rsid w:val="00F1361C"/>
    <w:rsid w:val="00F156F0"/>
    <w:rsid w:val="00F160C7"/>
    <w:rsid w:val="00F206CF"/>
    <w:rsid w:val="00F2408F"/>
    <w:rsid w:val="00F240E9"/>
    <w:rsid w:val="00F30485"/>
    <w:rsid w:val="00F36D8F"/>
    <w:rsid w:val="00F417B1"/>
    <w:rsid w:val="00F45853"/>
    <w:rsid w:val="00F602DF"/>
    <w:rsid w:val="00F754A1"/>
    <w:rsid w:val="00F81FD9"/>
    <w:rsid w:val="00F841AA"/>
    <w:rsid w:val="00F84A94"/>
    <w:rsid w:val="00F87E96"/>
    <w:rsid w:val="00FA23E8"/>
    <w:rsid w:val="00FA3108"/>
    <w:rsid w:val="00FD3CC1"/>
    <w:rsid w:val="00FE44B1"/>
    <w:rsid w:val="00FF1E02"/>
    <w:rsid w:val="00FF30B4"/>
    <w:rsid w:val="00FF729C"/>
    <w:rsid w:val="01452581"/>
    <w:rsid w:val="0377335C"/>
    <w:rsid w:val="03881078"/>
    <w:rsid w:val="07DB3591"/>
    <w:rsid w:val="07E07A18"/>
    <w:rsid w:val="0BBC524E"/>
    <w:rsid w:val="0D390C49"/>
    <w:rsid w:val="10C055FF"/>
    <w:rsid w:val="16BB723D"/>
    <w:rsid w:val="1CBE4800"/>
    <w:rsid w:val="1E413FE7"/>
    <w:rsid w:val="240371BF"/>
    <w:rsid w:val="2771485F"/>
    <w:rsid w:val="29887A05"/>
    <w:rsid w:val="29FD04D3"/>
    <w:rsid w:val="319D4E0C"/>
    <w:rsid w:val="319F7F4E"/>
    <w:rsid w:val="35DE1385"/>
    <w:rsid w:val="38FF0F30"/>
    <w:rsid w:val="3A033772"/>
    <w:rsid w:val="3B823ECC"/>
    <w:rsid w:val="3E8F0328"/>
    <w:rsid w:val="44AC7FE3"/>
    <w:rsid w:val="48771A0E"/>
    <w:rsid w:val="49B744AF"/>
    <w:rsid w:val="4AF515BD"/>
    <w:rsid w:val="4ECE2238"/>
    <w:rsid w:val="60513280"/>
    <w:rsid w:val="616A6FB1"/>
    <w:rsid w:val="67504677"/>
    <w:rsid w:val="69D66BBB"/>
    <w:rsid w:val="6B82039E"/>
    <w:rsid w:val="6CFB34AD"/>
    <w:rsid w:val="726760EE"/>
    <w:rsid w:val="72734D90"/>
    <w:rsid w:val="790E7A6A"/>
    <w:rsid w:val="7C043FA1"/>
    <w:rsid w:val="7DAB1B3A"/>
    <w:rsid w:val="7DFF2330"/>
    <w:rsid w:val="D51B20CB"/>
    <w:rsid w:val="F5FFE1C6"/>
    <w:rsid w:val="F67F5E23"/>
    <w:rsid w:val="F7CBB4A8"/>
    <w:rsid w:val="FBBFD6D7"/>
    <w:rsid w:val="FC7D7A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nhideWhenUsed="0" w:uiPriority="0" w:semiHidden="0"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6">
    <w:name w:val="Normal Indent"/>
    <w:basedOn w:val="1"/>
    <w:unhideWhenUsed/>
    <w:qFormat/>
    <w:uiPriority w:val="99"/>
    <w:pPr>
      <w:keepNext w:val="0"/>
      <w:keepLines w:val="0"/>
      <w:widowControl w:val="0"/>
      <w:suppressLineNumbers w:val="0"/>
      <w:snapToGrid w:val="0"/>
      <w:spacing w:before="0" w:beforeAutospacing="0" w:after="0" w:afterAutospacing="0"/>
      <w:ind w:left="0" w:right="0" w:firstLine="556"/>
      <w:jc w:val="both"/>
    </w:pPr>
    <w:rPr>
      <w:rFonts w:hint="eastAsia" w:ascii="仿宋_GB2312" w:hAnsi="Times New Roman" w:eastAsia="仿宋_GB2312" w:cs="Times New Roman"/>
      <w:kern w:val="0"/>
      <w:sz w:val="32"/>
      <w:szCs w:val="32"/>
      <w:lang w:val="en-US" w:eastAsia="zh-CN" w:bidi="ar"/>
    </w:r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Body Text"/>
    <w:basedOn w:val="1"/>
    <w:link w:val="26"/>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2"/>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99"/>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Char"/>
    <w:link w:val="12"/>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Char"/>
    <w:link w:val="11"/>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Char"/>
    <w:link w:val="8"/>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列出段落1"/>
    <w:basedOn w:val="1"/>
    <w:qFormat/>
    <w:uiPriority w:val="34"/>
    <w:pPr>
      <w:ind w:firstLine="420" w:firstLineChars="200"/>
    </w:pPr>
  </w:style>
  <w:style w:type="character" w:customStyle="1" w:styleId="29">
    <w:name w:val="标题 1 Char"/>
    <w:basedOn w:val="18"/>
    <w:link w:val="3"/>
    <w:qFormat/>
    <w:uiPriority w:val="9"/>
    <w:rPr>
      <w:rFonts w:ascii="Times New Roman" w:hAnsi="Times New Roman"/>
      <w:b/>
      <w:bCs/>
      <w:kern w:val="44"/>
      <w:sz w:val="44"/>
      <w:szCs w:val="44"/>
    </w:rPr>
  </w:style>
  <w:style w:type="character" w:customStyle="1" w:styleId="30">
    <w:name w:val="标题 2 Char"/>
    <w:basedOn w:val="18"/>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8"/>
    <w:link w:val="10"/>
    <w:semiHidden/>
    <w:qFormat/>
    <w:uiPriority w:val="99"/>
    <w:rPr>
      <w:rFonts w:ascii="Times New Roman" w:hAnsi="Times New Roman"/>
      <w:kern w:val="2"/>
      <w:sz w:val="18"/>
      <w:szCs w:val="18"/>
    </w:rPr>
  </w:style>
  <w:style w:type="character" w:customStyle="1" w:styleId="33">
    <w:name w:val="标题 3 Char"/>
    <w:basedOn w:val="18"/>
    <w:link w:val="5"/>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36">
    <w:name w:val="font21"/>
    <w:basedOn w:val="18"/>
    <w:qFormat/>
    <w:uiPriority w:val="0"/>
    <w:rPr>
      <w:rFonts w:hint="eastAsia" w:ascii="宋体" w:hAnsi="宋体" w:eastAsia="宋体" w:cs="宋体"/>
      <w:color w:val="000000"/>
      <w:sz w:val="24"/>
      <w:szCs w:val="24"/>
      <w:u w:val="none"/>
    </w:rPr>
  </w:style>
  <w:style w:type="character" w:customStyle="1" w:styleId="37">
    <w:name w:val="font31"/>
    <w:basedOn w:val="18"/>
    <w:qFormat/>
    <w:uiPriority w:val="0"/>
    <w:rPr>
      <w:rFonts w:hint="eastAsia" w:ascii="宋体" w:hAnsi="宋体" w:eastAsia="宋体" w:cs="宋体"/>
      <w:color w:val="000000"/>
      <w:sz w:val="24"/>
      <w:szCs w:val="24"/>
      <w:u w:val="none"/>
    </w:rPr>
  </w:style>
  <w:style w:type="character" w:customStyle="1" w:styleId="38">
    <w:name w:val="font11"/>
    <w:basedOn w:val="18"/>
    <w:qFormat/>
    <w:uiPriority w:val="0"/>
    <w:rPr>
      <w:rFonts w:hint="default" w:ascii="Arial" w:hAnsi="Arial" w:cs="Arial"/>
      <w:color w:val="000000"/>
      <w:sz w:val="20"/>
      <w:szCs w:val="20"/>
      <w:u w:val="none"/>
    </w:rPr>
  </w:style>
  <w:style w:type="character" w:customStyle="1" w:styleId="39">
    <w:name w:val="font01"/>
    <w:basedOn w:val="18"/>
    <w:qFormat/>
    <w:uiPriority w:val="0"/>
    <w:rPr>
      <w:rFonts w:hint="eastAsia" w:ascii="宋体" w:hAnsi="宋体" w:eastAsia="宋体" w:cs="宋体"/>
      <w:color w:val="000000"/>
      <w:sz w:val="20"/>
      <w:szCs w:val="20"/>
      <w:u w:val="none"/>
    </w:rPr>
  </w:style>
  <w:style w:type="paragraph" w:customStyle="1" w:styleId="40">
    <w:name w:val="四号正文"/>
    <w:basedOn w:val="1"/>
    <w:qFormat/>
    <w:uiPriority w:val="0"/>
    <w:pPr>
      <w:keepNext w:val="0"/>
      <w:keepLines w:val="0"/>
      <w:widowControl w:val="0"/>
      <w:suppressLineNumbers w:val="0"/>
      <w:spacing w:before="0" w:beforeAutospacing="0" w:after="0" w:afterAutospacing="0" w:line="360" w:lineRule="auto"/>
      <w:ind w:left="0" w:right="0"/>
      <w:jc w:val="both"/>
    </w:pPr>
    <w:rPr>
      <w:rFonts w:hint="default" w:ascii="??" w:hAnsi="??" w:eastAsia="宋体" w:cs="Times New Roman"/>
      <w:color w:val="000000"/>
      <w:kern w:val="0"/>
      <w:sz w:val="28"/>
      <w:szCs w:val="28"/>
      <w:lang w:val="en-US" w:eastAsia="zh-CN" w:bidi="ar"/>
    </w:rPr>
  </w:style>
  <w:style w:type="paragraph" w:customStyle="1" w:styleId="41">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收入决算（单位：万元）</c:v>
                </c:pt>
              </c:strCache>
            </c:strRef>
          </c:tx>
          <c:explosion val="0"/>
          <c:dPt>
            <c:idx val="0"/>
            <c:bubble3D val="false"/>
          </c:dPt>
          <c:dPt>
            <c:idx val="1"/>
            <c:bubble3D val="false"/>
          </c:dPt>
          <c:dLbls>
            <c:dLbl>
              <c:idx val="0"/>
              <c:layout>
                <c:manualLayout>
                  <c:x val="-0.00291198910793817"/>
                  <c:y val="-0.279303644850803"/>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8976.53, 99.9996%</a:t>
                    </a:r>
                    <a:endParaRPr lang="en-US" altLang="zh-CN"/>
                  </a:p>
                </c:rich>
              </c:tx>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1"/>
              <c:layout>
                <c:manualLayout>
                  <c:x val="0.119055239702901"/>
                  <c:y val="-0.00177009350024996"/>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0.04, 0.0004%</a:t>
                    </a:r>
                    <a:endParaRPr lang="en-US" altLang="zh-CN"/>
                  </a:p>
                </c:rich>
              </c:tx>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10099.05</c:v>
                </c:pt>
                <c:pt idx="1">
                  <c:v>10</c:v>
                </c:pt>
              </c:numCache>
            </c:numRef>
          </c:val>
        </c:ser>
        <c:dLbls>
          <c:showLegendKey val="false"/>
          <c:showVal val="false"/>
          <c:showCatName val="false"/>
          <c:showSerName val="false"/>
          <c:showPercent val="true"/>
          <c:showBubbleSize val="false"/>
          <c:showLeaderLines val="true"/>
        </c:dLbls>
        <c:firstSliceAng val="0"/>
      </c:pieChart>
    </c:plotArea>
    <c:legend>
      <c:legendPos val="r"/>
      <c:layout>
        <c:manualLayout>
          <c:xMode val="edge"/>
          <c:yMode val="edge"/>
          <c:x val="0.60445163986329"/>
          <c:y val="0.174108967820071"/>
          <c:w val="0.391714597825732"/>
          <c:h val="0.674192636400799"/>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6350" cap="flat" cmpd="sng" algn="ctr">
      <a:solidFill>
        <a:srgbClr val="4F81BD"/>
      </a:solidFill>
      <a:prstDash val="solid"/>
      <a:round/>
    </a:ln>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pieChart>
        <c:varyColors val="true"/>
        <c:ser>
          <c:idx val="0"/>
          <c:order val="0"/>
          <c:tx>
            <c:strRef>
              <c:f>Sheet1!$B$1</c:f>
              <c:strCache>
                <c:ptCount val="1"/>
                <c:pt idx="0">
                  <c:v>支出决算</c:v>
                </c:pt>
              </c:strCache>
            </c:strRef>
          </c:tx>
          <c:explosion val="0"/>
          <c:dPt>
            <c:idx val="0"/>
            <c:bubble3D val="false"/>
          </c:dPt>
          <c:dPt>
            <c:idx val="1"/>
            <c:bubble3D val="false"/>
          </c:dPt>
          <c:dLbls>
            <c:dLbl>
              <c:idx val="0"/>
              <c:layout>
                <c:manualLayout>
                  <c:x val="-0.198862340483302"/>
                  <c:y val="-0.0824400328337336"/>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5149.79, 57.37%</a:t>
                    </a:r>
                    <a:endParaRPr lang="en-US" altLang="zh-CN"/>
                  </a:p>
                </c:rich>
              </c:tx>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1"/>
              <c:layout>
                <c:manualLayout>
                  <c:x val="0.176980722237307"/>
                  <c:y val="0.0826224424649622"/>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3826.78, 42.63%</a:t>
                    </a:r>
                    <a:endParaRPr lang="en-US" altLang="zh-CN"/>
                  </a:p>
                </c:rich>
              </c:tx>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基本支出</c:v>
                </c:pt>
                <c:pt idx="1">
                  <c:v>项目支出</c:v>
                </c:pt>
              </c:strCache>
            </c:strRef>
          </c:cat>
          <c:val>
            <c:numRef>
              <c:f>Sheet1!$B$2:$B$3</c:f>
              <c:numCache>
                <c:formatCode>General</c:formatCode>
                <c:ptCount val="2"/>
                <c:pt idx="0">
                  <c:v>5149.79</c:v>
                </c:pt>
                <c:pt idx="1">
                  <c:v>3826.78</c:v>
                </c:pt>
              </c:numCache>
            </c:numRef>
          </c:val>
        </c:ser>
        <c:dLbls>
          <c:showLegendKey val="false"/>
          <c:showVal val="false"/>
          <c:showCatName val="false"/>
          <c:showSerName val="false"/>
          <c:showPercent val="true"/>
          <c:showBubbleSize val="false"/>
          <c:showLeaderLines val="true"/>
        </c:dLbls>
        <c:firstSliceAng val="0"/>
      </c:pieChart>
    </c:plotArea>
    <c:legend>
      <c:legendPos val="r"/>
      <c:layout>
        <c:manualLayout>
          <c:xMode val="edge"/>
          <c:yMode val="edge"/>
          <c:x val="0.586414432626251"/>
          <c:y val="0.271134300176764"/>
          <c:w val="0.373673759756808"/>
          <c:h val="0.577152297927045"/>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6350" cap="flat" cmpd="sng" algn="ctr">
      <a:solidFill>
        <a:srgbClr val="4F81BD"/>
      </a:solidFill>
      <a:prstDash val="solid"/>
      <a:round/>
    </a:ln>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true"/>
    <c:plotArea>
      <c:layout/>
      <c:barChart>
        <c:barDir val="col"/>
        <c:grouping val="clustered"/>
        <c:varyColors val="false"/>
        <c:ser>
          <c:idx val="0"/>
          <c:order val="0"/>
          <c:tx>
            <c:strRef>
              <c:f>Sheet1!$B$1</c:f>
              <c:strCache>
                <c:ptCount val="1"/>
                <c:pt idx="0">
                  <c:v>2019年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决算支出对比（单位：万元）</c:v>
                </c:pt>
              </c:strCache>
            </c:strRef>
          </c:cat>
          <c:val>
            <c:numRef>
              <c:f>Sheet1!$B$2</c:f>
              <c:numCache>
                <c:formatCode>General</c:formatCode>
                <c:ptCount val="1"/>
                <c:pt idx="0">
                  <c:v>10099.05</c:v>
                </c:pt>
              </c:numCache>
            </c:numRef>
          </c:val>
        </c:ser>
        <c:ser>
          <c:idx val="1"/>
          <c:order val="1"/>
          <c:tx>
            <c:strRef>
              <c:f>Sheet1!$C$1</c:f>
              <c:strCache>
                <c:ptCount val="1"/>
                <c:pt idx="0">
                  <c:v>2020年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决算支出对比（单位：万元）</c:v>
                </c:pt>
              </c:strCache>
            </c:strRef>
          </c:cat>
          <c:val>
            <c:numRef>
              <c:f>Sheet1!$C$2</c:f>
              <c:numCache>
                <c:formatCode>General</c:formatCode>
                <c:ptCount val="1"/>
                <c:pt idx="0">
                  <c:v>8976.53</c:v>
                </c:pt>
              </c:numCache>
            </c:numRef>
          </c:val>
        </c:ser>
        <c:dLbls>
          <c:showLegendKey val="false"/>
          <c:showVal val="false"/>
          <c:showCatName val="false"/>
          <c:showSerName val="false"/>
          <c:showPercent val="false"/>
          <c:showBubbleSize val="false"/>
        </c:dLbls>
        <c:gapWidth val="150"/>
        <c:axId val="310387840"/>
        <c:axId val="310389376"/>
      </c:barChart>
      <c:catAx>
        <c:axId val="310387840"/>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10389376"/>
        <c:crosses val="autoZero"/>
        <c:auto val="true"/>
        <c:lblAlgn val="ctr"/>
        <c:lblOffset val="100"/>
        <c:noMultiLvlLbl val="false"/>
      </c:catAx>
      <c:valAx>
        <c:axId val="310389376"/>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10387840"/>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6350" cap="flat" cmpd="sng" algn="ctr">
      <a:solidFill>
        <a:srgbClr val="4F81BD"/>
      </a:solidFill>
      <a:prstDash val="solid"/>
      <a:round/>
    </a:ln>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true"/>
    <c:plotArea>
      <c:layout/>
      <c:barChart>
        <c:barDir val="col"/>
        <c:grouping val="clustered"/>
        <c:varyColors val="false"/>
        <c:ser>
          <c:idx val="0"/>
          <c:order val="0"/>
          <c:tx>
            <c:strRef>
              <c:f>Sheet1!$B$1</c:f>
              <c:strCache>
                <c:ptCount val="1"/>
                <c:pt idx="0">
                  <c:v>2019年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决算支出对比（单位：万元）</c:v>
                </c:pt>
              </c:strCache>
            </c:strRef>
          </c:cat>
          <c:val>
            <c:numRef>
              <c:f>Sheet1!$B$2</c:f>
              <c:numCache>
                <c:formatCode>General</c:formatCode>
                <c:ptCount val="1"/>
                <c:pt idx="0">
                  <c:v>10099.05</c:v>
                </c:pt>
              </c:numCache>
            </c:numRef>
          </c:val>
        </c:ser>
        <c:ser>
          <c:idx val="1"/>
          <c:order val="1"/>
          <c:tx>
            <c:strRef>
              <c:f>Sheet1!$C$1</c:f>
              <c:strCache>
                <c:ptCount val="1"/>
                <c:pt idx="0">
                  <c:v>2020年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决算支出对比（单位：万元）</c:v>
                </c:pt>
              </c:strCache>
            </c:strRef>
          </c:cat>
          <c:val>
            <c:numRef>
              <c:f>Sheet1!$C$2</c:f>
              <c:numCache>
                <c:formatCode>General</c:formatCode>
                <c:ptCount val="1"/>
                <c:pt idx="0">
                  <c:v>8976.53</c:v>
                </c:pt>
              </c:numCache>
            </c:numRef>
          </c:val>
        </c:ser>
        <c:dLbls>
          <c:showLegendKey val="false"/>
          <c:showVal val="false"/>
          <c:showCatName val="false"/>
          <c:showSerName val="false"/>
          <c:showPercent val="false"/>
          <c:showBubbleSize val="false"/>
        </c:dLbls>
        <c:gapWidth val="150"/>
        <c:axId val="249834880"/>
        <c:axId val="249963648"/>
      </c:barChart>
      <c:catAx>
        <c:axId val="249834880"/>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49963648"/>
        <c:crosses val="autoZero"/>
        <c:auto val="true"/>
        <c:lblAlgn val="ctr"/>
        <c:lblOffset val="100"/>
        <c:noMultiLvlLbl val="false"/>
      </c:catAx>
      <c:valAx>
        <c:axId val="24996364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49834880"/>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6350" cap="flat" cmpd="sng" algn="ctr">
      <a:solidFill>
        <a:srgbClr val="4F81BD"/>
      </a:solidFill>
      <a:prstDash val="solid"/>
      <a:round/>
    </a:ln>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sz="1000"/>
              <a:t>单位：万元</a:t>
            </a:r>
            <a:endParaRPr lang="zh-CN" altLang="en-US" sz="1000"/>
          </a:p>
        </c:rich>
      </c:tx>
      <c:layout>
        <c:manualLayout>
          <c:xMode val="edge"/>
          <c:yMode val="edge"/>
          <c:x val="0.706540674301418"/>
          <c:y val="0.0395581802274716"/>
        </c:manualLayout>
      </c:layout>
      <c:overlay val="false"/>
    </c:title>
    <c:autoTitleDeleted val="false"/>
    <c:plotArea>
      <c:layout/>
      <c:pieChart>
        <c:varyColors val="true"/>
        <c:ser>
          <c:idx val="0"/>
          <c:order val="0"/>
          <c:tx>
            <c:strRef>
              <c:f>Sheet1!$B$1</c:f>
              <c:strCache>
                <c:ptCount val="1"/>
                <c:pt idx="0">
                  <c:v>一般公共预算财政拨款支出</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Pt>
            <c:idx val="6"/>
            <c:bubble3D val="false"/>
          </c:dPt>
          <c:dPt>
            <c:idx val="7"/>
            <c:bubble3D val="false"/>
          </c:dPt>
          <c:dLbls>
            <c:dLbl>
              <c:idx val="0"/>
              <c:layout>
                <c:manualLayout>
                  <c:x val="0.0290256144989176"/>
                  <c:y val="-0.0690536599591718"/>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24, 0.27%</a:t>
                    </a:r>
                    <a:endParaRPr lang="en-US" altLang="zh-CN"/>
                  </a:p>
                </c:rich>
              </c:tx>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1"/>
              <c:layout>
                <c:manualLayout>
                  <c:x val="0.154056746556315"/>
                  <c:y val="-0.00743256051326917"/>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39.39, 0.44%</a:t>
                    </a:r>
                    <a:endParaRPr lang="en-US" altLang="zh-CN"/>
                  </a:p>
                </c:rich>
              </c:tx>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2"/>
              <c:layout>
                <c:manualLayout>
                  <c:x val="0.106237523229304"/>
                  <c:y val="0.0655314960629921"/>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765, 8.52%</a:t>
                    </a:r>
                    <a:endParaRPr lang="en-US" altLang="zh-CN"/>
                  </a:p>
                </c:rich>
              </c:tx>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3"/>
              <c:layout>
                <c:manualLayout>
                  <c:x val="-0.1539488859513"/>
                  <c:y val="0.0965342370178411"/>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1932.3,21.53%</a:t>
                    </a:r>
                    <a:endParaRPr lang="en-US" altLang="zh-CN"/>
                  </a:p>
                </c:rich>
              </c:tx>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4"/>
              <c:layout>
                <c:manualLayout>
                  <c:x val="0.00780485468513516"/>
                  <c:y val="0.0412029746281715"/>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176.8, 1.97%</a:t>
                    </a:r>
                    <a:endParaRPr lang="en-US" altLang="zh-CN"/>
                  </a:p>
                </c:rich>
              </c:tx>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5"/>
              <c:layout>
                <c:manualLayout>
                  <c:x val="0.180518907767172"/>
                  <c:y val="-0.118821084864392"/>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5716.6, 63.68%</a:t>
                    </a:r>
                    <a:endParaRPr lang="en-US" altLang="zh-CN"/>
                  </a:p>
                </c:rich>
              </c:tx>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6"/>
              <c:layout>
                <c:manualLayout>
                  <c:x val="-0.172028277487212"/>
                  <c:y val="0.0191750510352873"/>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317.43, 3.54%</a:t>
                    </a:r>
                    <a:endParaRPr lang="en-US" altLang="zh-CN"/>
                  </a:p>
                </c:rich>
              </c:tx>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7"/>
              <c:layout>
                <c:manualLayout>
                  <c:x val="-0.120069927390463"/>
                  <c:y val="-0.0659831583552056"/>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5, 0.06%</a:t>
                    </a:r>
                    <a:endParaRPr lang="en-US" altLang="zh-CN"/>
                  </a:p>
                </c:rich>
              </c:tx>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Sheet1!$A$2:$A$9</c:f>
              <c:strCache>
                <c:ptCount val="8"/>
                <c:pt idx="0">
                  <c:v>一般公共服务</c:v>
                </c:pt>
                <c:pt idx="1">
                  <c:v>教育</c:v>
                </c:pt>
                <c:pt idx="2">
                  <c:v>科学技术</c:v>
                </c:pt>
                <c:pt idx="3">
                  <c:v>社会保障和就业</c:v>
                </c:pt>
                <c:pt idx="4">
                  <c:v>卫生健康</c:v>
                </c:pt>
                <c:pt idx="5">
                  <c:v>资源勘探工业信息</c:v>
                </c:pt>
                <c:pt idx="6">
                  <c:v>住房保障</c:v>
                </c:pt>
                <c:pt idx="7">
                  <c:v>灾害防治及应急管理</c:v>
                </c:pt>
              </c:strCache>
            </c:strRef>
          </c:cat>
          <c:val>
            <c:numRef>
              <c:f>Sheet1!$B$2:$B$9</c:f>
              <c:numCache>
                <c:formatCode>General</c:formatCode>
                <c:ptCount val="8"/>
                <c:pt idx="0">
                  <c:v>24</c:v>
                </c:pt>
                <c:pt idx="1">
                  <c:v>39.39</c:v>
                </c:pt>
                <c:pt idx="2">
                  <c:v>765</c:v>
                </c:pt>
                <c:pt idx="3">
                  <c:v>1932.3</c:v>
                </c:pt>
                <c:pt idx="4">
                  <c:v>176.8</c:v>
                </c:pt>
                <c:pt idx="5">
                  <c:v>5716.6</c:v>
                </c:pt>
                <c:pt idx="6">
                  <c:v>317.43</c:v>
                </c:pt>
                <c:pt idx="7">
                  <c:v>5</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manualLayout>
          <c:xMode val="edge"/>
          <c:yMode val="edge"/>
          <c:x val="0.69865308163605"/>
          <c:y val="0.144062929942247"/>
          <c:w val="0.260302890970745"/>
          <c:h val="0.753454724409449"/>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9525" cap="flat" cmpd="sng" algn="ctr">
      <a:solidFill>
        <a:schemeClr val="accent1"/>
      </a:solidFill>
      <a:prstDash val="solid"/>
      <a:round/>
    </a:ln>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sz="1000"/>
              <a:t>单位：万元</a:t>
            </a:r>
            <a:endParaRPr lang="zh-CN" altLang="en-US" sz="1000"/>
          </a:p>
        </c:rich>
      </c:tx>
      <c:layout>
        <c:manualLayout>
          <c:xMode val="edge"/>
          <c:yMode val="edge"/>
          <c:x val="0.572197957677165"/>
          <c:y val="0.127684161431041"/>
        </c:manualLayout>
      </c:layout>
      <c:overlay val="false"/>
    </c:title>
    <c:autoTitleDeleted val="false"/>
    <c:plotArea>
      <c:layout/>
      <c:pieChart>
        <c:varyColors val="true"/>
        <c:ser>
          <c:idx val="0"/>
          <c:order val="0"/>
          <c:tx>
            <c:strRef>
              <c:f>Sheet1!$B$1</c:f>
              <c:strCache>
                <c:ptCount val="1"/>
                <c:pt idx="0">
                  <c:v>单位：万元</c:v>
                </c:pt>
              </c:strCache>
            </c:strRef>
          </c:tx>
          <c:explosion val="0"/>
          <c:dPt>
            <c:idx val="0"/>
            <c:bubble3D val="false"/>
          </c:dPt>
          <c:dPt>
            <c:idx val="1"/>
            <c:bubble3D val="false"/>
          </c:dPt>
          <c:dPt>
            <c:idx val="2"/>
            <c:bubble3D val="false"/>
          </c:dPt>
          <c:dLbls>
            <c:dLbl>
              <c:idx val="0"/>
              <c:delete val="true"/>
            </c:dLbl>
            <c:dLbl>
              <c:idx val="1"/>
              <c:layout>
                <c:manualLayout>
                  <c:x val="-0.0556918203918043"/>
                  <c:y val="-0.239265416776932"/>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39, 93.91%</a:t>
                    </a:r>
                    <a:endParaRPr lang="en-US" altLang="zh-CN"/>
                  </a:p>
                </c:rich>
              </c:tx>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2"/>
              <c:layout>
                <c:manualLayout>
                  <c:x val="-0.0540200254853426"/>
                  <c:y val="-0.0618028296532411"/>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2.53, 6.09%</a:t>
                    </a:r>
                    <a:endParaRPr lang="en-US" altLang="zh-CN"/>
                  </a:p>
                </c:rich>
              </c:tx>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Sheet1!$A$2:$A$4</c:f>
              <c:strCache>
                <c:ptCount val="3"/>
                <c:pt idx="0">
                  <c:v>因公出国（境）经费</c:v>
                </c:pt>
                <c:pt idx="1">
                  <c:v>公务用车购置及运行维护费</c:v>
                </c:pt>
                <c:pt idx="2">
                  <c:v>公务接待费</c:v>
                </c:pt>
              </c:strCache>
            </c:strRef>
          </c:cat>
          <c:val>
            <c:numRef>
              <c:f>Sheet1!$B$2:$B$4</c:f>
              <c:numCache>
                <c:formatCode>General</c:formatCode>
                <c:ptCount val="3"/>
                <c:pt idx="0">
                  <c:v>0</c:v>
                </c:pt>
                <c:pt idx="1">
                  <c:v>39</c:v>
                </c:pt>
                <c:pt idx="2">
                  <c:v>2.53</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manualLayout>
          <c:xMode val="edge"/>
          <c:yMode val="edge"/>
          <c:x val="0.508497375328084"/>
          <c:y val="0.357412823397075"/>
          <c:w val="0.291946711991412"/>
          <c:h val="0.461788057742782"/>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9525" cap="flat" cmpd="sng" algn="ctr">
      <a:solidFill>
        <a:schemeClr val="accent1"/>
      </a:solidFill>
      <a:prstDash val="solid"/>
      <a:round/>
    </a:ln>
  </c:spPr>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Pages>
  <Words>3353</Words>
  <Characters>19114</Characters>
  <Lines>1</Lines>
  <Paragraphs>1</Paragraphs>
  <TotalTime>11</TotalTime>
  <ScaleCrop>false</ScaleCrop>
  <LinksUpToDate>false</LinksUpToDate>
  <CharactersWithSpaces>22423</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2020-08-06T09:49:00Z</dcterms:created>
  <dc:creator>曹颖</dc:creator>
  <cp:lastModifiedBy>user</cp:lastModifiedBy>
  <cp:lastPrinted>2021-08-30T16:30:00Z</cp:lastPrinted>
  <dcterms:modified xsi:type="dcterms:W3CDTF">2021-08-30T10:05:03Z</dcterms:modified>
  <dc:title>四川省***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A3D70A3FD66E4CF69E92F2307384312E</vt:lpwstr>
  </property>
</Properties>
</file>